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29108" w14:textId="41F543D1" w:rsidR="00641226" w:rsidRDefault="00641226" w:rsidP="003D083A">
      <w:pPr>
        <w:pStyle w:val="Heading3"/>
        <w:jc w:val="center"/>
        <w:rPr>
          <w:rFonts w:ascii="Arial Narrow" w:hAnsi="Arial Narrow"/>
          <w:b/>
          <w:bCs/>
          <w:color w:val="auto"/>
          <w:sz w:val="36"/>
          <w:szCs w:val="36"/>
        </w:rPr>
      </w:pPr>
      <w:r w:rsidRPr="003D083A">
        <w:rPr>
          <w:rFonts w:ascii="Arial Narrow" w:hAnsi="Arial Narrow"/>
          <w:b/>
          <w:bCs/>
          <w:color w:val="auto"/>
          <w:sz w:val="36"/>
          <w:szCs w:val="36"/>
        </w:rPr>
        <w:t>In-Class Exercise — LLM Adoption</w:t>
      </w:r>
    </w:p>
    <w:p w14:paraId="62F5BA97" w14:textId="40B83641" w:rsidR="00DF2D44" w:rsidRPr="007A2FDE" w:rsidRDefault="00DF2D44" w:rsidP="00DF2D44">
      <w:pPr>
        <w:jc w:val="center"/>
        <w:rPr>
          <w:rFonts w:ascii="Arial Narrow" w:hAnsi="Arial Narrow"/>
          <w:b/>
          <w:bCs/>
        </w:rPr>
      </w:pPr>
      <w:r w:rsidRPr="007A2FDE">
        <w:rPr>
          <w:rFonts w:ascii="Arial Narrow" w:hAnsi="Arial Narrow"/>
          <w:b/>
          <w:bCs/>
        </w:rPr>
        <w:t xml:space="preserve">(with </w:t>
      </w:r>
      <w:r w:rsidR="007A2FDE" w:rsidRPr="007A2FDE">
        <w:rPr>
          <w:rFonts w:ascii="Arial Narrow" w:hAnsi="Arial Narrow"/>
          <w:b/>
          <w:bCs/>
        </w:rPr>
        <w:t>Partial</w:t>
      </w:r>
      <w:r w:rsidRPr="007A2FDE">
        <w:rPr>
          <w:rFonts w:ascii="Arial Narrow" w:hAnsi="Arial Narrow"/>
          <w:b/>
          <w:bCs/>
        </w:rPr>
        <w:t xml:space="preserve"> Answers)</w:t>
      </w:r>
    </w:p>
    <w:p w14:paraId="09B28E4A" w14:textId="3AFB9D3A" w:rsidR="00641226" w:rsidRPr="003D083A" w:rsidRDefault="00641226" w:rsidP="00641226">
      <w:pPr>
        <w:pStyle w:val="Heading3"/>
        <w:rPr>
          <w:rFonts w:ascii="Arial Narrow" w:hAnsi="Arial Narrow"/>
          <w:b/>
          <w:bCs/>
          <w:color w:val="auto"/>
          <w:sz w:val="28"/>
          <w:szCs w:val="28"/>
        </w:rPr>
      </w:pPr>
      <w:r w:rsidRPr="003D083A">
        <w:rPr>
          <w:rFonts w:ascii="Arial Narrow" w:hAnsi="Arial Narrow"/>
          <w:b/>
          <w:bCs/>
          <w:color w:val="auto"/>
          <w:sz w:val="28"/>
          <w:szCs w:val="28"/>
        </w:rPr>
        <w:t>Scenario</w:t>
      </w:r>
    </w:p>
    <w:p w14:paraId="22097112" w14:textId="77777777" w:rsidR="00641226" w:rsidRDefault="00641226" w:rsidP="00641226">
      <w:pPr>
        <w:rPr>
          <w:rFonts w:ascii="Arial Narrow" w:hAnsi="Arial Narrow"/>
        </w:rPr>
      </w:pPr>
      <w:r w:rsidRPr="007B6BF1">
        <w:rPr>
          <w:rFonts w:ascii="Arial Narrow" w:hAnsi="Arial Narrow"/>
        </w:rPr>
        <w:t>Teams of 4–5 role-play as CIOs for three firm types. Each team completes the Adoption Decision Table, selects a quadrant, recommends models, and defines governance + a 90-day pilot.</w:t>
      </w:r>
    </w:p>
    <w:p w14:paraId="11F10791" w14:textId="00344363" w:rsidR="00641226" w:rsidRPr="002C2120" w:rsidRDefault="00641226" w:rsidP="00641226">
      <w:pPr>
        <w:rPr>
          <w:rFonts w:ascii="Arial Narrow" w:hAnsi="Arial Narrow"/>
          <w:b/>
          <w:bCs/>
          <w:sz w:val="24"/>
        </w:rPr>
      </w:pPr>
      <w:r w:rsidRPr="002C2120">
        <w:rPr>
          <w:rFonts w:ascii="Arial Narrow" w:hAnsi="Arial Narrow"/>
          <w:b/>
          <w:bCs/>
          <w:sz w:val="24"/>
        </w:rPr>
        <w:t>Adoption Decision Table</w:t>
      </w:r>
    </w:p>
    <w:p w14:paraId="66BC0909" w14:textId="77777777" w:rsidR="00641226" w:rsidRPr="002C2120" w:rsidRDefault="00641226" w:rsidP="00641226">
      <w:pPr>
        <w:rPr>
          <w:rFonts w:ascii="Arial Narrow" w:hAnsi="Arial Narrow"/>
          <w:szCs w:val="22"/>
        </w:rPr>
      </w:pPr>
      <w:r w:rsidRPr="002C2120">
        <w:rPr>
          <w:rFonts w:ascii="Arial Narrow" w:hAnsi="Arial Narrow"/>
          <w:szCs w:val="22"/>
        </w:rPr>
        <w:t>Each team completes one row per use case. The "Quadrant" column forces an explicit 2×2 placement before any model is named.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551"/>
        <w:gridCol w:w="1985"/>
        <w:gridCol w:w="1984"/>
        <w:gridCol w:w="1985"/>
      </w:tblGrid>
      <w:tr w:rsidR="00641226" w:rsidRPr="004D7D10" w14:paraId="61102DF2" w14:textId="77777777" w:rsidTr="00D27C38">
        <w:tc>
          <w:tcPr>
            <w:tcW w:w="421" w:type="dxa"/>
            <w:shd w:val="clear" w:color="auto" w:fill="D5E8F0"/>
          </w:tcPr>
          <w:p w14:paraId="56B3836C" w14:textId="77777777" w:rsidR="00641226" w:rsidRPr="004D7D10" w:rsidRDefault="00641226" w:rsidP="00641226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#</w:t>
            </w:r>
          </w:p>
        </w:tc>
        <w:tc>
          <w:tcPr>
            <w:tcW w:w="2551" w:type="dxa"/>
            <w:shd w:val="clear" w:color="auto" w:fill="D5E8F0"/>
          </w:tcPr>
          <w:p w14:paraId="3FC5A851" w14:textId="77777777" w:rsidR="00641226" w:rsidRPr="004D7D10" w:rsidRDefault="00641226" w:rsidP="00641226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Field</w:t>
            </w:r>
          </w:p>
        </w:tc>
        <w:tc>
          <w:tcPr>
            <w:tcW w:w="1985" w:type="dxa"/>
            <w:shd w:val="clear" w:color="auto" w:fill="D5E8F0"/>
          </w:tcPr>
          <w:p w14:paraId="1CD6FC5A" w14:textId="77777777" w:rsidR="00641226" w:rsidRPr="004D7D10" w:rsidRDefault="00641226" w:rsidP="00641226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Team A (Small)</w:t>
            </w:r>
          </w:p>
        </w:tc>
        <w:tc>
          <w:tcPr>
            <w:tcW w:w="1984" w:type="dxa"/>
            <w:shd w:val="clear" w:color="auto" w:fill="D5E8F0"/>
          </w:tcPr>
          <w:p w14:paraId="7E9BC2C3" w14:textId="77777777" w:rsidR="00641226" w:rsidRPr="004D7D10" w:rsidRDefault="00641226" w:rsidP="00641226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Team B (Mid)</w:t>
            </w:r>
          </w:p>
        </w:tc>
        <w:tc>
          <w:tcPr>
            <w:tcW w:w="1985" w:type="dxa"/>
            <w:shd w:val="clear" w:color="auto" w:fill="D5E8F0"/>
          </w:tcPr>
          <w:p w14:paraId="388BAA47" w14:textId="77777777" w:rsidR="00641226" w:rsidRPr="004D7D10" w:rsidRDefault="00641226" w:rsidP="00641226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Team C (Large)</w:t>
            </w:r>
          </w:p>
        </w:tc>
      </w:tr>
      <w:tr w:rsidR="001C3F57" w:rsidRPr="004D7D10" w14:paraId="0A289A7D" w14:textId="77777777" w:rsidTr="00D27C38">
        <w:tc>
          <w:tcPr>
            <w:tcW w:w="421" w:type="dxa"/>
            <w:vAlign w:val="center"/>
          </w:tcPr>
          <w:p w14:paraId="44BF9A0B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1</w:t>
            </w:r>
          </w:p>
        </w:tc>
        <w:tc>
          <w:tcPr>
            <w:tcW w:w="2551" w:type="dxa"/>
            <w:vAlign w:val="center"/>
          </w:tcPr>
          <w:p w14:paraId="05857EE0" w14:textId="77777777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szCs w:val="22"/>
              </w:rPr>
              <w:t>Company / size / sector</w:t>
            </w:r>
          </w:p>
        </w:tc>
        <w:tc>
          <w:tcPr>
            <w:tcW w:w="1985" w:type="dxa"/>
            <w:vAlign w:val="center"/>
          </w:tcPr>
          <w:p w14:paraId="6D6119E9" w14:textId="50F8F8B3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12BE4DF" w14:textId="4313282C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BF82823" w14:textId="10C3D01A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3AB9B37E" w14:textId="77777777" w:rsidTr="00D27C38">
        <w:tc>
          <w:tcPr>
            <w:tcW w:w="421" w:type="dxa"/>
            <w:vAlign w:val="center"/>
          </w:tcPr>
          <w:p w14:paraId="52BB63BB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2</w:t>
            </w:r>
          </w:p>
        </w:tc>
        <w:tc>
          <w:tcPr>
            <w:tcW w:w="2551" w:type="dxa"/>
            <w:vAlign w:val="center"/>
          </w:tcPr>
          <w:p w14:paraId="79EDF138" w14:textId="77777777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szCs w:val="22"/>
              </w:rPr>
              <w:t>Use case &amp; business value</w:t>
            </w:r>
          </w:p>
        </w:tc>
        <w:tc>
          <w:tcPr>
            <w:tcW w:w="1985" w:type="dxa"/>
            <w:vAlign w:val="center"/>
          </w:tcPr>
          <w:p w14:paraId="384BEDF3" w14:textId="09A741D5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3F45FD0" w14:textId="470E462F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10C94EA" w14:textId="7A69C743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2E24A82E" w14:textId="77777777" w:rsidTr="00D27C38">
        <w:tc>
          <w:tcPr>
            <w:tcW w:w="421" w:type="dxa"/>
            <w:vAlign w:val="center"/>
          </w:tcPr>
          <w:p w14:paraId="0127C47D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3</w:t>
            </w:r>
          </w:p>
        </w:tc>
        <w:tc>
          <w:tcPr>
            <w:tcW w:w="2551" w:type="dxa"/>
            <w:vAlign w:val="center"/>
          </w:tcPr>
          <w:p w14:paraId="6DA9AF79" w14:textId="77777777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szCs w:val="22"/>
              </w:rPr>
              <w:t>Quadrant (1/2/3/4)</w:t>
            </w:r>
          </w:p>
        </w:tc>
        <w:tc>
          <w:tcPr>
            <w:tcW w:w="1985" w:type="dxa"/>
            <w:vAlign w:val="center"/>
          </w:tcPr>
          <w:p w14:paraId="21BD9A6A" w14:textId="1E1F3C04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1D99147" w14:textId="2A4B1988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2A7102F" w14:textId="70954A2A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7B19DF01" w14:textId="77777777" w:rsidTr="00D27C38">
        <w:tc>
          <w:tcPr>
            <w:tcW w:w="421" w:type="dxa"/>
            <w:vAlign w:val="center"/>
          </w:tcPr>
          <w:p w14:paraId="4F54B3AB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7F7D817B" w14:textId="77777777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szCs w:val="22"/>
              </w:rPr>
              <w:t>Open or closed source?</w:t>
            </w:r>
          </w:p>
        </w:tc>
        <w:tc>
          <w:tcPr>
            <w:tcW w:w="1985" w:type="dxa"/>
            <w:vAlign w:val="center"/>
          </w:tcPr>
          <w:p w14:paraId="0CDD4E23" w14:textId="00EB6E16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10B5156" w14:textId="666662DC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A3C01B2" w14:textId="2F4E357A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6C9CB550" w14:textId="77777777" w:rsidTr="00D27C38">
        <w:tc>
          <w:tcPr>
            <w:tcW w:w="421" w:type="dxa"/>
            <w:vAlign w:val="center"/>
          </w:tcPr>
          <w:p w14:paraId="2A8D254C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5</w:t>
            </w:r>
          </w:p>
        </w:tc>
        <w:tc>
          <w:tcPr>
            <w:tcW w:w="2551" w:type="dxa"/>
            <w:vAlign w:val="center"/>
          </w:tcPr>
          <w:p w14:paraId="03DC98E0" w14:textId="214C879C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1C3F57">
              <w:rPr>
                <w:rFonts w:ascii="Arial Narrow" w:hAnsi="Arial Narrow"/>
                <w:bCs/>
                <w:szCs w:val="22"/>
              </w:rPr>
              <w:t>Model(s) &amp; Adoption Position</w:t>
            </w:r>
          </w:p>
        </w:tc>
        <w:tc>
          <w:tcPr>
            <w:tcW w:w="1985" w:type="dxa"/>
            <w:vAlign w:val="center"/>
          </w:tcPr>
          <w:p w14:paraId="40E168B2" w14:textId="22ED7029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27A4BA8" w14:textId="6D3EF297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8B54173" w14:textId="62EB0580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28866DD9" w14:textId="77777777" w:rsidTr="00D27C38">
        <w:tc>
          <w:tcPr>
            <w:tcW w:w="421" w:type="dxa"/>
            <w:vAlign w:val="center"/>
          </w:tcPr>
          <w:p w14:paraId="52E4A46A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6</w:t>
            </w:r>
          </w:p>
        </w:tc>
        <w:tc>
          <w:tcPr>
            <w:tcW w:w="2551" w:type="dxa"/>
            <w:vAlign w:val="center"/>
          </w:tcPr>
          <w:p w14:paraId="28845525" w14:textId="19DBEB97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1C3F57">
              <w:rPr>
                <w:rFonts w:ascii="Arial Narrow" w:hAnsi="Arial Narrow"/>
                <w:bCs/>
                <w:szCs w:val="22"/>
              </w:rPr>
              <w:t>Regulation</w:t>
            </w:r>
          </w:p>
        </w:tc>
        <w:tc>
          <w:tcPr>
            <w:tcW w:w="1985" w:type="dxa"/>
            <w:vAlign w:val="center"/>
          </w:tcPr>
          <w:p w14:paraId="77C32FB9" w14:textId="4ACD321A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60AD0C2" w14:textId="08734FE8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7F76264" w14:textId="09F49E8D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7EEAA7A7" w14:textId="77777777" w:rsidTr="00D27C38">
        <w:tc>
          <w:tcPr>
            <w:tcW w:w="421" w:type="dxa"/>
            <w:vAlign w:val="center"/>
          </w:tcPr>
          <w:p w14:paraId="4830D74D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7</w:t>
            </w:r>
          </w:p>
        </w:tc>
        <w:tc>
          <w:tcPr>
            <w:tcW w:w="2551" w:type="dxa"/>
            <w:vAlign w:val="center"/>
          </w:tcPr>
          <w:p w14:paraId="14C08B07" w14:textId="1F36FC13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4D7D10">
              <w:rPr>
                <w:rFonts w:ascii="Arial Narrow" w:hAnsi="Arial Narrow"/>
                <w:szCs w:val="22"/>
              </w:rPr>
              <w:t>Volume (tokens/month)</w:t>
            </w:r>
          </w:p>
        </w:tc>
        <w:tc>
          <w:tcPr>
            <w:tcW w:w="1985" w:type="dxa"/>
            <w:vAlign w:val="center"/>
          </w:tcPr>
          <w:p w14:paraId="39A24E28" w14:textId="2EB35543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29D1A5E" w14:textId="712EE27A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00946B8" w14:textId="3D07D97A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46253E8C" w14:textId="77777777" w:rsidTr="00D27C38">
        <w:tc>
          <w:tcPr>
            <w:tcW w:w="421" w:type="dxa"/>
            <w:vAlign w:val="center"/>
          </w:tcPr>
          <w:p w14:paraId="0B2EB552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8</w:t>
            </w:r>
          </w:p>
        </w:tc>
        <w:tc>
          <w:tcPr>
            <w:tcW w:w="2551" w:type="dxa"/>
            <w:vAlign w:val="center"/>
          </w:tcPr>
          <w:p w14:paraId="19EED173" w14:textId="71FAB1D5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1C3F57">
              <w:rPr>
                <w:rFonts w:ascii="Arial Narrow" w:hAnsi="Arial Narrow"/>
                <w:bCs/>
                <w:szCs w:val="22"/>
              </w:rPr>
              <w:t>Talent</w:t>
            </w:r>
          </w:p>
        </w:tc>
        <w:tc>
          <w:tcPr>
            <w:tcW w:w="1985" w:type="dxa"/>
            <w:vAlign w:val="center"/>
          </w:tcPr>
          <w:p w14:paraId="79E5E744" w14:textId="75E2381B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3E60847" w14:textId="51BA5F2E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AD846EA" w14:textId="30DAB765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30F28F39" w14:textId="77777777" w:rsidTr="00D27C38">
        <w:tc>
          <w:tcPr>
            <w:tcW w:w="421" w:type="dxa"/>
            <w:vAlign w:val="center"/>
          </w:tcPr>
          <w:p w14:paraId="1DDD5BE6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9</w:t>
            </w:r>
          </w:p>
        </w:tc>
        <w:tc>
          <w:tcPr>
            <w:tcW w:w="2551" w:type="dxa"/>
            <w:vAlign w:val="center"/>
          </w:tcPr>
          <w:p w14:paraId="501B54A1" w14:textId="16E72FAC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1C3F57">
              <w:rPr>
                <w:rFonts w:ascii="Arial Narrow" w:hAnsi="Arial Narrow"/>
                <w:bCs/>
                <w:szCs w:val="22"/>
              </w:rPr>
              <w:t>5-Year TCO</w:t>
            </w:r>
          </w:p>
        </w:tc>
        <w:tc>
          <w:tcPr>
            <w:tcW w:w="1985" w:type="dxa"/>
            <w:vAlign w:val="center"/>
          </w:tcPr>
          <w:p w14:paraId="438A88AB" w14:textId="6A7631CE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4A9DC57" w14:textId="5169FF5B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376D5BC" w14:textId="028F6032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29A4A31D" w14:textId="77777777" w:rsidTr="00D27C38">
        <w:tc>
          <w:tcPr>
            <w:tcW w:w="421" w:type="dxa"/>
            <w:vAlign w:val="center"/>
          </w:tcPr>
          <w:p w14:paraId="646D5658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10</w:t>
            </w:r>
          </w:p>
        </w:tc>
        <w:tc>
          <w:tcPr>
            <w:tcW w:w="2551" w:type="dxa"/>
            <w:vAlign w:val="center"/>
          </w:tcPr>
          <w:p w14:paraId="5196699A" w14:textId="1B8E2440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1C3F57">
              <w:rPr>
                <w:rFonts w:ascii="Arial Narrow" w:hAnsi="Arial Narrow"/>
                <w:bCs/>
                <w:szCs w:val="22"/>
              </w:rPr>
              <w:t>Top Risk &amp; Mitigation</w:t>
            </w:r>
          </w:p>
        </w:tc>
        <w:tc>
          <w:tcPr>
            <w:tcW w:w="1985" w:type="dxa"/>
            <w:vAlign w:val="center"/>
          </w:tcPr>
          <w:p w14:paraId="125E078C" w14:textId="18A967FD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C544E17" w14:textId="63E9BAA0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944A618" w14:textId="5361A452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24CE0996" w14:textId="77777777" w:rsidTr="00D27C38">
        <w:tc>
          <w:tcPr>
            <w:tcW w:w="421" w:type="dxa"/>
            <w:vAlign w:val="center"/>
          </w:tcPr>
          <w:p w14:paraId="2C125273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11</w:t>
            </w:r>
          </w:p>
        </w:tc>
        <w:tc>
          <w:tcPr>
            <w:tcW w:w="2551" w:type="dxa"/>
            <w:vAlign w:val="center"/>
          </w:tcPr>
          <w:p w14:paraId="55F1C11F" w14:textId="5D1DA302" w:rsidR="001C3F57" w:rsidRPr="004D7D10" w:rsidRDefault="001C3F57" w:rsidP="001C3F57">
            <w:p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1C3F57">
              <w:rPr>
                <w:rFonts w:ascii="Arial Narrow" w:hAnsi="Arial Narrow"/>
                <w:bCs/>
                <w:szCs w:val="22"/>
              </w:rPr>
              <w:t>90-Day Success Metric</w:t>
            </w:r>
          </w:p>
        </w:tc>
        <w:tc>
          <w:tcPr>
            <w:tcW w:w="1985" w:type="dxa"/>
            <w:vAlign w:val="center"/>
          </w:tcPr>
          <w:p w14:paraId="368A96B5" w14:textId="20C6A6E7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DC46C6D" w14:textId="4AD321DB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3808728" w14:textId="360722E9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  <w:tr w:rsidR="001C3F57" w:rsidRPr="004D7D10" w14:paraId="4B09E818" w14:textId="77777777" w:rsidTr="00D27C38">
        <w:tc>
          <w:tcPr>
            <w:tcW w:w="421" w:type="dxa"/>
            <w:vAlign w:val="center"/>
          </w:tcPr>
          <w:p w14:paraId="0F52834E" w14:textId="77777777" w:rsidR="001C3F57" w:rsidRPr="004D7D10" w:rsidRDefault="001C3F57" w:rsidP="001C3F57">
            <w:pPr>
              <w:spacing w:after="0"/>
              <w:jc w:val="center"/>
              <w:rPr>
                <w:rFonts w:ascii="Arial Narrow" w:hAnsi="Arial Narrow"/>
                <w:b/>
                <w:bCs/>
                <w:szCs w:val="22"/>
              </w:rPr>
            </w:pPr>
            <w:r w:rsidRPr="004D7D10">
              <w:rPr>
                <w:rFonts w:ascii="Arial Narrow" w:hAnsi="Arial Narrow"/>
                <w:b/>
                <w:bCs/>
                <w:szCs w:val="22"/>
              </w:rPr>
              <w:t>12</w:t>
            </w:r>
          </w:p>
        </w:tc>
        <w:tc>
          <w:tcPr>
            <w:tcW w:w="2551" w:type="dxa"/>
            <w:vAlign w:val="center"/>
          </w:tcPr>
          <w:p w14:paraId="28A032F5" w14:textId="77777777" w:rsidR="00B55171" w:rsidRDefault="00B55171" w:rsidP="00B55171">
            <w:pPr>
              <w:pStyle w:val="ListParagraph"/>
              <w:numPr>
                <w:ilvl w:val="0"/>
                <w:numId w:val="5"/>
              </w:num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B55171">
              <w:rPr>
                <w:rFonts w:ascii="Arial Narrow" w:hAnsi="Arial Narrow"/>
                <w:szCs w:val="22"/>
              </w:rPr>
              <w:t>Trap Avoided</w:t>
            </w:r>
          </w:p>
          <w:p w14:paraId="603C71E9" w14:textId="77777777" w:rsidR="00B55171" w:rsidRDefault="00B55171" w:rsidP="00B55171">
            <w:pPr>
              <w:pStyle w:val="ListParagraph"/>
              <w:numPr>
                <w:ilvl w:val="0"/>
                <w:numId w:val="5"/>
              </w:num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B55171">
              <w:rPr>
                <w:rFonts w:ascii="Arial Narrow" w:hAnsi="Arial Narrow"/>
                <w:szCs w:val="22"/>
              </w:rPr>
              <w:t>Routing Justificatio</w:t>
            </w:r>
            <w:r>
              <w:rPr>
                <w:rFonts w:ascii="Arial Narrow" w:hAnsi="Arial Narrow"/>
                <w:szCs w:val="22"/>
              </w:rPr>
              <w:t>n</w:t>
            </w:r>
          </w:p>
          <w:p w14:paraId="6B840992" w14:textId="09EAD396" w:rsidR="001C3F57" w:rsidRPr="00B55171" w:rsidRDefault="00B55171" w:rsidP="00B55171">
            <w:pPr>
              <w:pStyle w:val="ListParagraph"/>
              <w:numPr>
                <w:ilvl w:val="0"/>
                <w:numId w:val="5"/>
              </w:numPr>
              <w:spacing w:after="0"/>
              <w:jc w:val="left"/>
              <w:rPr>
                <w:rFonts w:ascii="Arial Narrow" w:hAnsi="Arial Narrow"/>
                <w:szCs w:val="22"/>
              </w:rPr>
            </w:pPr>
            <w:r w:rsidRPr="00B55171">
              <w:rPr>
                <w:rFonts w:ascii="Arial Narrow" w:hAnsi="Arial Narrow"/>
                <w:szCs w:val="22"/>
              </w:rPr>
              <w:t>Governance Layers</w:t>
            </w:r>
          </w:p>
        </w:tc>
        <w:tc>
          <w:tcPr>
            <w:tcW w:w="1985" w:type="dxa"/>
            <w:vAlign w:val="center"/>
          </w:tcPr>
          <w:p w14:paraId="437015C2" w14:textId="7FB9F19C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DFF86B9" w14:textId="40BBCD26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EE0397B" w14:textId="7FFDA54F" w:rsidR="001C3F57" w:rsidRPr="001C3F57" w:rsidRDefault="001C3F57" w:rsidP="001C3F57">
            <w:pPr>
              <w:spacing w:after="0"/>
              <w:jc w:val="left"/>
              <w:rPr>
                <w:rFonts w:ascii="Arial Narrow" w:hAnsi="Arial Narrow"/>
                <w:bCs/>
                <w:szCs w:val="22"/>
              </w:rPr>
            </w:pPr>
          </w:p>
        </w:tc>
      </w:tr>
    </w:tbl>
    <w:p w14:paraId="1EFB5242" w14:textId="77777777" w:rsidR="001C3F57" w:rsidRDefault="001C3F57" w:rsidP="009C43BA">
      <w:pPr>
        <w:spacing w:before="120" w:after="120"/>
        <w:rPr>
          <w:rFonts w:ascii="Arial Narrow" w:eastAsia="思源黑体" w:hAnsi="Arial Narrow" w:cs="Times New Roman"/>
          <w:b/>
          <w:bCs/>
          <w:sz w:val="28"/>
          <w:szCs w:val="32"/>
        </w:rPr>
      </w:pPr>
    </w:p>
    <w:p w14:paraId="5B5ADCA3" w14:textId="77777777" w:rsidR="001C3F57" w:rsidRDefault="001C3F57">
      <w:pPr>
        <w:widowControl/>
        <w:spacing w:before="0" w:after="160" w:line="278" w:lineRule="auto"/>
        <w:jc w:val="left"/>
        <w:rPr>
          <w:rFonts w:ascii="Arial Narrow" w:eastAsia="思源黑体" w:hAnsi="Arial Narrow" w:cs="Times New Roman"/>
          <w:b/>
          <w:bCs/>
          <w:sz w:val="28"/>
          <w:szCs w:val="32"/>
        </w:rPr>
      </w:pPr>
      <w:r>
        <w:rPr>
          <w:rFonts w:ascii="Arial Narrow" w:eastAsia="思源黑体" w:hAnsi="Arial Narrow" w:cs="Times New Roman"/>
          <w:b/>
          <w:bCs/>
          <w:sz w:val="28"/>
          <w:szCs w:val="32"/>
        </w:rPr>
        <w:br w:type="page"/>
      </w:r>
    </w:p>
    <w:p w14:paraId="57F0BA98" w14:textId="2A8F6D25" w:rsidR="00641226" w:rsidRPr="004D7D10" w:rsidRDefault="00641226" w:rsidP="009C43BA">
      <w:pPr>
        <w:spacing w:before="120" w:after="120"/>
        <w:rPr>
          <w:rFonts w:ascii="Arial Narrow" w:hAnsi="Arial Narrow"/>
          <w:b/>
          <w:bCs/>
          <w:sz w:val="28"/>
          <w:szCs w:val="32"/>
        </w:rPr>
      </w:pPr>
      <w:r w:rsidRPr="004D7D10">
        <w:rPr>
          <w:rFonts w:ascii="Arial Narrow" w:eastAsia="思源黑体" w:hAnsi="Arial Narrow" w:cs="Times New Roman"/>
          <w:b/>
          <w:bCs/>
          <w:sz w:val="28"/>
          <w:szCs w:val="32"/>
        </w:rPr>
        <w:lastRenderedPageBreak/>
        <w:t>Routing &amp; Governance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580"/>
        <w:gridCol w:w="1701"/>
        <w:gridCol w:w="1559"/>
        <w:gridCol w:w="1994"/>
      </w:tblGrid>
      <w:tr w:rsidR="00641226" w:rsidRPr="00257731" w14:paraId="2D682663" w14:textId="77777777" w:rsidTr="00641226">
        <w:tc>
          <w:tcPr>
            <w:tcW w:w="1526" w:type="dxa"/>
            <w:shd w:val="clear" w:color="auto" w:fill="D5E8F0"/>
          </w:tcPr>
          <w:p w14:paraId="242EB915" w14:textId="77777777" w:rsidR="00641226" w:rsidRPr="00257731" w:rsidRDefault="00641226" w:rsidP="0053740F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b/>
                <w:bCs/>
                <w:szCs w:val="22"/>
              </w:rPr>
              <w:t>Traffic tier</w:t>
            </w:r>
          </w:p>
        </w:tc>
        <w:tc>
          <w:tcPr>
            <w:tcW w:w="2580" w:type="dxa"/>
            <w:shd w:val="clear" w:color="auto" w:fill="D5E8F0"/>
          </w:tcPr>
          <w:p w14:paraId="2F7F1D77" w14:textId="77777777" w:rsidR="00641226" w:rsidRPr="00257731" w:rsidRDefault="00641226" w:rsidP="0053740F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b/>
                <w:bCs/>
                <w:szCs w:val="22"/>
              </w:rPr>
              <w:t>Task examples</w:t>
            </w:r>
          </w:p>
        </w:tc>
        <w:tc>
          <w:tcPr>
            <w:tcW w:w="1701" w:type="dxa"/>
            <w:shd w:val="clear" w:color="auto" w:fill="D5E8F0"/>
          </w:tcPr>
          <w:p w14:paraId="3A9A38F8" w14:textId="77777777" w:rsidR="00641226" w:rsidRPr="00257731" w:rsidRDefault="00641226" w:rsidP="0053740F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b/>
                <w:bCs/>
                <w:szCs w:val="22"/>
              </w:rPr>
              <w:t>Model class</w:t>
            </w:r>
          </w:p>
        </w:tc>
        <w:tc>
          <w:tcPr>
            <w:tcW w:w="1559" w:type="dxa"/>
            <w:shd w:val="clear" w:color="auto" w:fill="D5E8F0"/>
          </w:tcPr>
          <w:p w14:paraId="49885AA9" w14:textId="77777777" w:rsidR="00641226" w:rsidRPr="00257731" w:rsidRDefault="00641226" w:rsidP="0053740F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b/>
                <w:bCs/>
                <w:szCs w:val="22"/>
              </w:rPr>
              <w:t>Cost/request</w:t>
            </w:r>
          </w:p>
        </w:tc>
        <w:tc>
          <w:tcPr>
            <w:tcW w:w="1994" w:type="dxa"/>
            <w:shd w:val="clear" w:color="auto" w:fill="D5E8F0"/>
          </w:tcPr>
          <w:p w14:paraId="0F0AD3B3" w14:textId="77777777" w:rsidR="00641226" w:rsidRPr="00257731" w:rsidRDefault="00641226" w:rsidP="0053740F">
            <w:pPr>
              <w:spacing w:after="0"/>
              <w:jc w:val="center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b/>
                <w:bCs/>
                <w:szCs w:val="22"/>
              </w:rPr>
              <w:t>Human-in-loop?</w:t>
            </w:r>
          </w:p>
        </w:tc>
      </w:tr>
      <w:tr w:rsidR="00641226" w:rsidRPr="00257731" w14:paraId="719344EE" w14:textId="77777777" w:rsidTr="00641226">
        <w:tc>
          <w:tcPr>
            <w:tcW w:w="1526" w:type="dxa"/>
          </w:tcPr>
          <w:p w14:paraId="0F956BD3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Light (~80%)</w:t>
            </w:r>
          </w:p>
        </w:tc>
        <w:tc>
          <w:tcPr>
            <w:tcW w:w="2580" w:type="dxa"/>
          </w:tcPr>
          <w:p w14:paraId="7256388B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Classification, extraction, summaries</w:t>
            </w:r>
          </w:p>
        </w:tc>
        <w:tc>
          <w:tcPr>
            <w:tcW w:w="1701" w:type="dxa"/>
          </w:tcPr>
          <w:p w14:paraId="70C423DB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 xml:space="preserve">Flash / small </w:t>
            </w:r>
            <w:proofErr w:type="gramStart"/>
            <w:r w:rsidRPr="00257731">
              <w:rPr>
                <w:rFonts w:ascii="Arial Narrow" w:hAnsi="Arial Narrow"/>
                <w:szCs w:val="22"/>
              </w:rPr>
              <w:t>open-weight</w:t>
            </w:r>
            <w:proofErr w:type="gramEnd"/>
          </w:p>
        </w:tc>
        <w:tc>
          <w:tcPr>
            <w:tcW w:w="1559" w:type="dxa"/>
          </w:tcPr>
          <w:p w14:paraId="2FA07009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~$0.002</w:t>
            </w:r>
          </w:p>
        </w:tc>
        <w:tc>
          <w:tcPr>
            <w:tcW w:w="1994" w:type="dxa"/>
          </w:tcPr>
          <w:p w14:paraId="38F6DD44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No</w:t>
            </w:r>
          </w:p>
        </w:tc>
      </w:tr>
      <w:tr w:rsidR="00641226" w:rsidRPr="00257731" w14:paraId="68209A11" w14:textId="77777777" w:rsidTr="00641226">
        <w:tc>
          <w:tcPr>
            <w:tcW w:w="1526" w:type="dxa"/>
          </w:tcPr>
          <w:p w14:paraId="39C84663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Mid (~15%)</w:t>
            </w:r>
          </w:p>
        </w:tc>
        <w:tc>
          <w:tcPr>
            <w:tcW w:w="2580" w:type="dxa"/>
          </w:tcPr>
          <w:p w14:paraId="53411B68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Drafting, standard RAG Q&amp;A</w:t>
            </w:r>
          </w:p>
        </w:tc>
        <w:tc>
          <w:tcPr>
            <w:tcW w:w="1701" w:type="dxa"/>
          </w:tcPr>
          <w:p w14:paraId="03C53DA6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Max / mid-tier</w:t>
            </w:r>
          </w:p>
        </w:tc>
        <w:tc>
          <w:tcPr>
            <w:tcW w:w="1559" w:type="dxa"/>
          </w:tcPr>
          <w:p w14:paraId="40DACD1D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~$0.01</w:t>
            </w:r>
          </w:p>
        </w:tc>
        <w:tc>
          <w:tcPr>
            <w:tcW w:w="1994" w:type="dxa"/>
          </w:tcPr>
          <w:p w14:paraId="24FBBA23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Review sample</w:t>
            </w:r>
          </w:p>
        </w:tc>
      </w:tr>
      <w:tr w:rsidR="00641226" w:rsidRPr="00257731" w14:paraId="5F87EE48" w14:textId="77777777" w:rsidTr="00641226">
        <w:tc>
          <w:tcPr>
            <w:tcW w:w="1526" w:type="dxa"/>
          </w:tcPr>
          <w:p w14:paraId="45C377B6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Complex (~5%)</w:t>
            </w:r>
          </w:p>
        </w:tc>
        <w:tc>
          <w:tcPr>
            <w:tcW w:w="2580" w:type="dxa"/>
          </w:tcPr>
          <w:p w14:paraId="76D44C6B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Disputes, compliance explanations</w:t>
            </w:r>
          </w:p>
        </w:tc>
        <w:tc>
          <w:tcPr>
            <w:tcW w:w="1701" w:type="dxa"/>
          </w:tcPr>
          <w:p w14:paraId="498493C4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Flagship (Claude/GPT)</w:t>
            </w:r>
          </w:p>
        </w:tc>
        <w:tc>
          <w:tcPr>
            <w:tcW w:w="1559" w:type="dxa"/>
          </w:tcPr>
          <w:p w14:paraId="7E259972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~$0.10</w:t>
            </w:r>
          </w:p>
        </w:tc>
        <w:tc>
          <w:tcPr>
            <w:tcW w:w="1994" w:type="dxa"/>
          </w:tcPr>
          <w:p w14:paraId="037CA30D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Yes</w:t>
            </w:r>
          </w:p>
        </w:tc>
      </w:tr>
      <w:tr w:rsidR="00641226" w:rsidRPr="00257731" w14:paraId="151785A6" w14:textId="77777777" w:rsidTr="00641226">
        <w:tc>
          <w:tcPr>
            <w:tcW w:w="1526" w:type="dxa"/>
          </w:tcPr>
          <w:p w14:paraId="7CCD21B6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Frontier (&lt;1%)</w:t>
            </w:r>
          </w:p>
        </w:tc>
        <w:tc>
          <w:tcPr>
            <w:tcW w:w="2580" w:type="dxa"/>
          </w:tcPr>
          <w:p w14:paraId="64932FFC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Specialized engineering, research</w:t>
            </w:r>
          </w:p>
        </w:tc>
        <w:tc>
          <w:tcPr>
            <w:tcW w:w="1701" w:type="dxa"/>
          </w:tcPr>
          <w:p w14:paraId="7DA4D3E6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GPT-6 Astra / Gemini Pro</w:t>
            </w:r>
          </w:p>
        </w:tc>
        <w:tc>
          <w:tcPr>
            <w:tcW w:w="1559" w:type="dxa"/>
          </w:tcPr>
          <w:p w14:paraId="37621A56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~$0.50</w:t>
            </w:r>
          </w:p>
        </w:tc>
        <w:tc>
          <w:tcPr>
            <w:tcW w:w="1994" w:type="dxa"/>
          </w:tcPr>
          <w:p w14:paraId="499931C7" w14:textId="77777777" w:rsidR="00641226" w:rsidRPr="00257731" w:rsidRDefault="00641226" w:rsidP="0053740F">
            <w:pPr>
              <w:spacing w:after="0"/>
              <w:rPr>
                <w:rFonts w:ascii="Arial Narrow" w:hAnsi="Arial Narrow"/>
                <w:szCs w:val="22"/>
              </w:rPr>
            </w:pPr>
            <w:r w:rsidRPr="00257731">
              <w:rPr>
                <w:rFonts w:ascii="Arial Narrow" w:hAnsi="Arial Narrow"/>
                <w:szCs w:val="22"/>
              </w:rPr>
              <w:t>Yes + approval</w:t>
            </w:r>
          </w:p>
        </w:tc>
      </w:tr>
    </w:tbl>
    <w:p w14:paraId="6B334770" w14:textId="20F8D08A" w:rsidR="003748C2" w:rsidRDefault="003748C2" w:rsidP="00641226">
      <w:pPr>
        <w:pStyle w:val="Heading3"/>
        <w:rPr>
          <w:rFonts w:ascii="Arial Narrow" w:hAnsi="Arial Narrow"/>
          <w:b/>
          <w:bCs/>
          <w:color w:val="auto"/>
          <w:sz w:val="28"/>
          <w:szCs w:val="28"/>
        </w:rPr>
      </w:pPr>
      <w:r>
        <w:rPr>
          <w:rFonts w:ascii="Arial Narrow" w:hAnsi="Arial Narrow"/>
          <w:b/>
          <w:bCs/>
          <w:color w:val="auto"/>
          <w:sz w:val="28"/>
          <w:szCs w:val="28"/>
        </w:rPr>
        <w:t>Regulations:</w:t>
      </w:r>
    </w:p>
    <w:p w14:paraId="46B3A377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proofErr w:type="gramStart"/>
      <w:r w:rsidRPr="00A8505C">
        <w:rPr>
          <w:rFonts w:ascii="Arial Narrow" w:hAnsi="Arial Narrow"/>
          <w:b/>
          <w:bCs/>
        </w:rPr>
        <w:t>API</w:t>
      </w:r>
      <w:r w:rsidRPr="00A8505C">
        <w:rPr>
          <w:rFonts w:ascii="Arial Narrow" w:hAnsi="Arial Narrow"/>
        </w:rPr>
        <w:t xml:space="preserve"> :</w:t>
      </w:r>
      <w:proofErr w:type="gramEnd"/>
      <w:r w:rsidRPr="00A8505C">
        <w:rPr>
          <w:rFonts w:ascii="Arial Narrow" w:hAnsi="Arial Narrow"/>
        </w:rPr>
        <w:t xml:space="preserve">= Application Programming Interface </w:t>
      </w:r>
    </w:p>
    <w:p w14:paraId="7492E518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proofErr w:type="gramStart"/>
      <w:r w:rsidRPr="00A8505C">
        <w:rPr>
          <w:rFonts w:ascii="Arial Narrow" w:hAnsi="Arial Narrow"/>
          <w:b/>
          <w:bCs/>
        </w:rPr>
        <w:t xml:space="preserve">BAA </w:t>
      </w:r>
      <w:r w:rsidRPr="00A8505C">
        <w:rPr>
          <w:rFonts w:ascii="Arial Narrow" w:hAnsi="Arial Narrow"/>
        </w:rPr>
        <w:t>:</w:t>
      </w:r>
      <w:proofErr w:type="gramEnd"/>
      <w:r w:rsidRPr="00A8505C">
        <w:rPr>
          <w:rFonts w:ascii="Arial Narrow" w:hAnsi="Arial Narrow"/>
        </w:rPr>
        <w:t xml:space="preserve">= Business Associate Agreement </w:t>
      </w:r>
    </w:p>
    <w:p w14:paraId="426BB3E4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proofErr w:type="gramStart"/>
      <w:r w:rsidRPr="00A8505C">
        <w:rPr>
          <w:rFonts w:ascii="Arial Narrow" w:hAnsi="Arial Narrow"/>
          <w:b/>
          <w:bCs/>
        </w:rPr>
        <w:t>DPA</w:t>
      </w:r>
      <w:r w:rsidRPr="00A8505C">
        <w:rPr>
          <w:rFonts w:ascii="Arial Narrow" w:hAnsi="Arial Narrow"/>
        </w:rPr>
        <w:t xml:space="preserve"> :</w:t>
      </w:r>
      <w:proofErr w:type="gramEnd"/>
      <w:r w:rsidRPr="00A8505C">
        <w:rPr>
          <w:rFonts w:ascii="Arial Narrow" w:hAnsi="Arial Narrow"/>
        </w:rPr>
        <w:t xml:space="preserve">= Data Processing Agreement </w:t>
      </w:r>
    </w:p>
    <w:p w14:paraId="38E11A81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proofErr w:type="gramStart"/>
      <w:r w:rsidRPr="00A8505C">
        <w:rPr>
          <w:rFonts w:ascii="Arial Narrow" w:hAnsi="Arial Narrow"/>
          <w:b/>
          <w:bCs/>
        </w:rPr>
        <w:t>GLBA</w:t>
      </w:r>
      <w:r w:rsidRPr="00A8505C">
        <w:rPr>
          <w:rFonts w:ascii="Arial Narrow" w:hAnsi="Arial Narrow"/>
        </w:rPr>
        <w:t xml:space="preserve"> :</w:t>
      </w:r>
      <w:proofErr w:type="gramEnd"/>
      <w:r w:rsidRPr="00A8505C">
        <w:rPr>
          <w:rFonts w:ascii="Arial Narrow" w:hAnsi="Arial Narrow"/>
        </w:rPr>
        <w:t>= Gramm-Leach-Bliley Act, the U.S. federal law requiring financial institutions</w:t>
      </w:r>
      <w:r w:rsidRPr="00A8505C">
        <w:rPr>
          <w:rFonts w:ascii="Times New Roman" w:hAnsi="Times New Roman" w:cs="Times New Roman"/>
        </w:rPr>
        <w:t>​</w:t>
      </w:r>
      <w:r w:rsidRPr="00A8505C">
        <w:rPr>
          <w:rFonts w:ascii="Arial Narrow" w:hAnsi="Arial Narrow"/>
        </w:rPr>
        <w:t xml:space="preserve"> to protect consumers' nonpublic personal information (NPI) and explain their data-sharing practices.</w:t>
      </w:r>
    </w:p>
    <w:p w14:paraId="2EC29730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  <w:b/>
          <w:bCs/>
        </w:rPr>
      </w:pPr>
      <w:proofErr w:type="gramStart"/>
      <w:r w:rsidRPr="00A8505C">
        <w:rPr>
          <w:rFonts w:ascii="Arial Narrow" w:hAnsi="Arial Narrow"/>
          <w:b/>
          <w:bCs/>
        </w:rPr>
        <w:t>HIPAA</w:t>
      </w:r>
      <w:r w:rsidRPr="00A8505C">
        <w:rPr>
          <w:rFonts w:ascii="Arial Narrow" w:hAnsi="Arial Narrow"/>
        </w:rPr>
        <w:t xml:space="preserve"> :</w:t>
      </w:r>
      <w:proofErr w:type="gramEnd"/>
      <w:r w:rsidRPr="00A8505C">
        <w:rPr>
          <w:rFonts w:ascii="Arial Narrow" w:hAnsi="Arial Narrow"/>
        </w:rPr>
        <w:t>= Health Insurance Portability and Accountability Act (1996)</w:t>
      </w:r>
    </w:p>
    <w:p w14:paraId="7A2EDB7C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r w:rsidRPr="00A8505C">
        <w:rPr>
          <w:rFonts w:ascii="Arial Narrow" w:hAnsi="Arial Narrow"/>
          <w:b/>
          <w:bCs/>
        </w:rPr>
        <w:t>PCI-</w:t>
      </w:r>
      <w:proofErr w:type="gramStart"/>
      <w:r w:rsidRPr="00A8505C">
        <w:rPr>
          <w:rFonts w:ascii="Arial Narrow" w:hAnsi="Arial Narrow"/>
          <w:b/>
          <w:bCs/>
        </w:rPr>
        <w:t>DSS</w:t>
      </w:r>
      <w:r w:rsidRPr="00A8505C">
        <w:rPr>
          <w:rFonts w:ascii="Arial Narrow" w:hAnsi="Arial Narrow"/>
        </w:rPr>
        <w:t xml:space="preserve"> :</w:t>
      </w:r>
      <w:proofErr w:type="gramEnd"/>
      <w:r w:rsidRPr="00A8505C">
        <w:rPr>
          <w:rFonts w:ascii="Arial Narrow" w:hAnsi="Arial Narrow"/>
        </w:rPr>
        <w:t>= Payment Card Industry Data Security Standard</w:t>
      </w:r>
    </w:p>
    <w:p w14:paraId="72A71616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proofErr w:type="gramStart"/>
      <w:r w:rsidRPr="00A8505C">
        <w:rPr>
          <w:rFonts w:ascii="Arial Narrow" w:hAnsi="Arial Narrow"/>
          <w:b/>
          <w:bCs/>
        </w:rPr>
        <w:t>PHI</w:t>
      </w:r>
      <w:r w:rsidRPr="00A8505C">
        <w:rPr>
          <w:rFonts w:ascii="Arial Narrow" w:hAnsi="Arial Narrow"/>
        </w:rPr>
        <w:t xml:space="preserve"> :</w:t>
      </w:r>
      <w:proofErr w:type="gramEnd"/>
      <w:r w:rsidRPr="00A8505C">
        <w:rPr>
          <w:rFonts w:ascii="Arial Narrow" w:hAnsi="Arial Narrow"/>
        </w:rPr>
        <w:t>= Protected Health Information</w:t>
      </w:r>
      <w:r w:rsidRPr="00A8505C">
        <w:rPr>
          <w:rFonts w:ascii="Times New Roman" w:hAnsi="Times New Roman" w:cs="Times New Roman"/>
        </w:rPr>
        <w:t>​</w:t>
      </w:r>
      <w:r w:rsidRPr="00A8505C">
        <w:rPr>
          <w:rFonts w:ascii="Arial Narrow" w:hAnsi="Arial Narrow"/>
        </w:rPr>
        <w:t xml:space="preserve"> — individually identifiable health information that is created, received, maintained, or transmitted by a HIPAA covered entity</w:t>
      </w:r>
      <w:r w:rsidRPr="00A8505C">
        <w:rPr>
          <w:rFonts w:ascii="Times New Roman" w:hAnsi="Times New Roman" w:cs="Times New Roman"/>
        </w:rPr>
        <w:t>​</w:t>
      </w:r>
      <w:r w:rsidRPr="00A8505C">
        <w:rPr>
          <w:rFonts w:ascii="Arial Narrow" w:hAnsi="Arial Narrow"/>
        </w:rPr>
        <w:t xml:space="preserve"> or business associate</w:t>
      </w:r>
      <w:r w:rsidRPr="00A8505C">
        <w:rPr>
          <w:rFonts w:ascii="Times New Roman" w:hAnsi="Times New Roman" w:cs="Times New Roman"/>
        </w:rPr>
        <w:t>​</w:t>
      </w:r>
      <w:r w:rsidRPr="00A8505C">
        <w:rPr>
          <w:rFonts w:ascii="Arial Narrow" w:hAnsi="Arial Narrow"/>
        </w:rPr>
        <w:t xml:space="preserve">. </w:t>
      </w:r>
    </w:p>
    <w:p w14:paraId="0F073585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proofErr w:type="gramStart"/>
      <w:r w:rsidRPr="00A8505C">
        <w:rPr>
          <w:rFonts w:ascii="Arial Narrow" w:hAnsi="Arial Narrow"/>
          <w:b/>
          <w:bCs/>
        </w:rPr>
        <w:t>PII</w:t>
      </w:r>
      <w:r w:rsidRPr="00A8505C">
        <w:rPr>
          <w:rFonts w:ascii="Arial Narrow" w:hAnsi="Arial Narrow"/>
        </w:rPr>
        <w:t xml:space="preserve"> :</w:t>
      </w:r>
      <w:proofErr w:type="gramEnd"/>
      <w:r w:rsidRPr="00A8505C">
        <w:rPr>
          <w:rFonts w:ascii="Arial Narrow" w:hAnsi="Arial Narrow"/>
        </w:rPr>
        <w:t>= Personal Identification Information</w:t>
      </w:r>
    </w:p>
    <w:p w14:paraId="229CD59B" w14:textId="77777777" w:rsidR="00AD36E6" w:rsidRPr="00A8505C" w:rsidRDefault="00AD36E6" w:rsidP="00A8505C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proofErr w:type="gramStart"/>
      <w:r w:rsidRPr="00A8505C">
        <w:rPr>
          <w:rFonts w:ascii="Arial Narrow" w:hAnsi="Arial Narrow"/>
          <w:b/>
          <w:bCs/>
        </w:rPr>
        <w:t xml:space="preserve">VPC </w:t>
      </w:r>
      <w:r w:rsidRPr="00A8505C">
        <w:rPr>
          <w:rFonts w:ascii="Arial Narrow" w:hAnsi="Arial Narrow"/>
        </w:rPr>
        <w:t>:</w:t>
      </w:r>
      <w:proofErr w:type="gramEnd"/>
      <w:r w:rsidRPr="00A8505C">
        <w:rPr>
          <w:rFonts w:ascii="Arial Narrow" w:hAnsi="Arial Narrow"/>
        </w:rPr>
        <w:t>= Virtual Private Cloud</w:t>
      </w:r>
    </w:p>
    <w:p w14:paraId="2C4A148D" w14:textId="77777777" w:rsidR="00B940B7" w:rsidRDefault="00B940B7">
      <w:pPr>
        <w:widowControl/>
        <w:spacing w:before="0" w:after="160" w:line="278" w:lineRule="auto"/>
        <w:jc w:val="left"/>
        <w:rPr>
          <w:rFonts w:ascii="Arial Narrow" w:eastAsiaTheme="majorEastAsia" w:hAnsi="Arial Narrow" w:cstheme="majorBidi"/>
          <w:b/>
          <w:bCs/>
          <w:color w:val="auto"/>
          <w:sz w:val="28"/>
          <w:szCs w:val="28"/>
        </w:rPr>
      </w:pPr>
      <w:r>
        <w:rPr>
          <w:rFonts w:ascii="Arial Narrow" w:hAnsi="Arial Narrow"/>
          <w:b/>
          <w:bCs/>
          <w:color w:val="auto"/>
          <w:sz w:val="28"/>
          <w:szCs w:val="28"/>
        </w:rPr>
        <w:br w:type="page"/>
      </w:r>
    </w:p>
    <w:p w14:paraId="5F437E41" w14:textId="490DAA46" w:rsidR="00641226" w:rsidRPr="003D083A" w:rsidRDefault="00641226" w:rsidP="00641226">
      <w:pPr>
        <w:pStyle w:val="Heading3"/>
        <w:rPr>
          <w:rFonts w:ascii="Arial Narrow" w:hAnsi="Arial Narrow"/>
          <w:b/>
          <w:bCs/>
          <w:color w:val="auto"/>
          <w:sz w:val="28"/>
          <w:szCs w:val="28"/>
        </w:rPr>
      </w:pPr>
      <w:r w:rsidRPr="003D083A">
        <w:rPr>
          <w:rFonts w:ascii="Arial Narrow" w:hAnsi="Arial Narrow"/>
          <w:b/>
          <w:bCs/>
          <w:color w:val="auto"/>
          <w:sz w:val="28"/>
          <w:szCs w:val="28"/>
        </w:rPr>
        <w:lastRenderedPageBreak/>
        <w:t>Team A — Small Firm (12 people, no AI team, low volume)</w:t>
      </w:r>
    </w:p>
    <w:p w14:paraId="3B4F5EBA" w14:textId="77777777" w:rsidR="00641226" w:rsidRPr="007B6BF1" w:rsidRDefault="00641226" w:rsidP="00641226">
      <w:pPr>
        <w:rPr>
          <w:rFonts w:ascii="Arial Narrow" w:hAnsi="Arial Narrow"/>
        </w:rPr>
      </w:pPr>
      <w:r w:rsidRPr="007B6BF1">
        <w:rPr>
          <w:rFonts w:ascii="Arial Narrow" w:hAnsi="Arial Narrow"/>
          <w:b/>
        </w:rPr>
        <w:t>Chosen Sector:</w:t>
      </w:r>
      <w:r w:rsidRPr="007B6BF1">
        <w:rPr>
          <w:rFonts w:ascii="Arial Narrow" w:hAnsi="Arial Narrow"/>
        </w:rPr>
        <w:t xml:space="preserve"> </w:t>
      </w:r>
      <w:r w:rsidRPr="007B6BF1">
        <w:rPr>
          <w:rFonts w:ascii="Arial Narrow" w:hAnsi="Arial Narrow"/>
          <w:i/>
        </w:rPr>
        <w:t>Healthcare &amp; Pharma (Small Clinic Group)</w:t>
      </w:r>
    </w:p>
    <w:tbl>
      <w:tblPr>
        <w:tblStyle w:val="TableGrid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544"/>
        <w:gridCol w:w="6102"/>
      </w:tblGrid>
      <w:tr w:rsidR="00B940B7" w:rsidRPr="00B940B7" w14:paraId="2E6A0277" w14:textId="77777777" w:rsidTr="00B940B7">
        <w:tc>
          <w:tcPr>
            <w:tcW w:w="421" w:type="dxa"/>
            <w:vAlign w:val="top"/>
          </w:tcPr>
          <w:p w14:paraId="6C0CC938" w14:textId="6548707C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2544" w:type="dxa"/>
          </w:tcPr>
          <w:p w14:paraId="6EF1DA9D" w14:textId="2D3ABEB7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6102" w:type="dxa"/>
          </w:tcPr>
          <w:p w14:paraId="4F5C9918" w14:textId="77777777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Recommendation</w:t>
            </w:r>
          </w:p>
        </w:tc>
      </w:tr>
      <w:tr w:rsidR="00B940B7" w:rsidRPr="00B940B7" w14:paraId="22BECB9B" w14:textId="77777777" w:rsidTr="00B940B7">
        <w:tc>
          <w:tcPr>
            <w:tcW w:w="421" w:type="dxa"/>
          </w:tcPr>
          <w:p w14:paraId="5C928D27" w14:textId="27102794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44" w:type="dxa"/>
          </w:tcPr>
          <w:p w14:paraId="33ED536B" w14:textId="14E5CA16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Company / Size / Sector</w:t>
            </w:r>
          </w:p>
        </w:tc>
        <w:tc>
          <w:tcPr>
            <w:tcW w:w="6102" w:type="dxa"/>
          </w:tcPr>
          <w:p w14:paraId="32A5EE96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12-person private dermatology clinic group; Healthcare; PHI under HIPAA.</w:t>
            </w:r>
          </w:p>
        </w:tc>
      </w:tr>
      <w:tr w:rsidR="00B940B7" w:rsidRPr="00B940B7" w14:paraId="0A19EAB6" w14:textId="77777777" w:rsidTr="00B940B7">
        <w:tc>
          <w:tcPr>
            <w:tcW w:w="421" w:type="dxa"/>
          </w:tcPr>
          <w:p w14:paraId="4ED47636" w14:textId="31CB2D23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44" w:type="dxa"/>
          </w:tcPr>
          <w:p w14:paraId="0C95CE5B" w14:textId="16F6AC02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Use Case &amp; Business Value</w:t>
            </w:r>
          </w:p>
        </w:tc>
        <w:tc>
          <w:tcPr>
            <w:tcW w:w="6102" w:type="dxa"/>
          </w:tcPr>
          <w:p w14:paraId="6A1A32C0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Internal knowledge assistant for clinical protocols &amp; billing FAQs. Cuts search time 60%; reduces admin overhead.</w:t>
            </w:r>
          </w:p>
        </w:tc>
      </w:tr>
      <w:tr w:rsidR="00B940B7" w:rsidRPr="00B940B7" w14:paraId="1B639D2D" w14:textId="77777777" w:rsidTr="00B940B7">
        <w:tc>
          <w:tcPr>
            <w:tcW w:w="421" w:type="dxa"/>
          </w:tcPr>
          <w:p w14:paraId="59F82FF2" w14:textId="5A8F5F6C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44" w:type="dxa"/>
          </w:tcPr>
          <w:p w14:paraId="1F4DFE5E" w14:textId="549C3264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Quadrant</w:t>
            </w:r>
          </w:p>
        </w:tc>
        <w:tc>
          <w:tcPr>
            <w:tcW w:w="6102" w:type="dxa"/>
          </w:tcPr>
          <w:p w14:paraId="0E24231C" w14:textId="51437415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B940B7" w14:paraId="2D692C43" w14:textId="77777777" w:rsidTr="00B940B7">
        <w:tc>
          <w:tcPr>
            <w:tcW w:w="421" w:type="dxa"/>
          </w:tcPr>
          <w:p w14:paraId="39F57EB6" w14:textId="494C858E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44" w:type="dxa"/>
          </w:tcPr>
          <w:p w14:paraId="57917D12" w14:textId="24617935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Open/Closed &amp; Hosted/API</w:t>
            </w:r>
          </w:p>
        </w:tc>
        <w:tc>
          <w:tcPr>
            <w:tcW w:w="6102" w:type="dxa"/>
          </w:tcPr>
          <w:p w14:paraId="0377FE73" w14:textId="23C92D83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B940B7" w14:paraId="4FA37589" w14:textId="77777777" w:rsidTr="00B940B7">
        <w:tc>
          <w:tcPr>
            <w:tcW w:w="421" w:type="dxa"/>
          </w:tcPr>
          <w:p w14:paraId="2E7E012E" w14:textId="17AC71D4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44" w:type="dxa"/>
          </w:tcPr>
          <w:p w14:paraId="36D3DFCE" w14:textId="535E4441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Model(s) &amp; Adoption Position</w:t>
            </w:r>
          </w:p>
        </w:tc>
        <w:tc>
          <w:tcPr>
            <w:tcW w:w="6102" w:type="dxa"/>
          </w:tcPr>
          <w:p w14:paraId="793DB707" w14:textId="77E3B2EF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B940B7" w14:paraId="5B68F90F" w14:textId="77777777" w:rsidTr="00B940B7">
        <w:tc>
          <w:tcPr>
            <w:tcW w:w="421" w:type="dxa"/>
          </w:tcPr>
          <w:p w14:paraId="21AFF5A1" w14:textId="4D97924E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544" w:type="dxa"/>
          </w:tcPr>
          <w:p w14:paraId="4CE0FB7C" w14:textId="18AC1385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Regulation</w:t>
            </w:r>
          </w:p>
        </w:tc>
        <w:tc>
          <w:tcPr>
            <w:tcW w:w="6102" w:type="dxa"/>
          </w:tcPr>
          <w:p w14:paraId="6E1CA168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HIPAA; requires BAA, zero-retention, PII masking. No data leaves US perimeter.</w:t>
            </w:r>
          </w:p>
        </w:tc>
      </w:tr>
      <w:tr w:rsidR="00B940B7" w:rsidRPr="00B940B7" w14:paraId="24E57E42" w14:textId="77777777" w:rsidTr="00B940B7">
        <w:tc>
          <w:tcPr>
            <w:tcW w:w="421" w:type="dxa"/>
          </w:tcPr>
          <w:p w14:paraId="14AD9C40" w14:textId="4AD48E55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544" w:type="dxa"/>
          </w:tcPr>
          <w:p w14:paraId="65278C0A" w14:textId="640225EF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Volume</w:t>
            </w:r>
          </w:p>
        </w:tc>
        <w:tc>
          <w:tcPr>
            <w:tcW w:w="6102" w:type="dxa"/>
          </w:tcPr>
          <w:p w14:paraId="3934426F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～</w:t>
            </w:r>
            <w:r w:rsidRPr="00B940B7">
              <w:rPr>
                <w:rFonts w:ascii="Arial Narrow" w:hAnsi="Arial Narrow"/>
                <w:sz w:val="22"/>
                <w:szCs w:val="22"/>
              </w:rPr>
              <w:t xml:space="preserve">5,000 queries/month (low). API cost </w:t>
            </w:r>
            <w:r w:rsidRPr="00B940B7">
              <w:rPr>
                <w:rFonts w:ascii="Arial Narrow" w:hAnsi="Arial Narrow"/>
                <w:sz w:val="22"/>
                <w:szCs w:val="22"/>
              </w:rPr>
              <w:t>～</w:t>
            </w:r>
            <w:r w:rsidRPr="00B940B7">
              <w:rPr>
                <w:rFonts w:ascii="Arial Narrow" w:hAnsi="Arial Narrow"/>
                <w:sz w:val="22"/>
                <w:szCs w:val="22"/>
              </w:rPr>
              <w:t>$50/mo.</w:t>
            </w:r>
          </w:p>
        </w:tc>
      </w:tr>
      <w:tr w:rsidR="00B940B7" w:rsidRPr="00B940B7" w14:paraId="13C93052" w14:textId="77777777" w:rsidTr="00B940B7">
        <w:tc>
          <w:tcPr>
            <w:tcW w:w="421" w:type="dxa"/>
          </w:tcPr>
          <w:p w14:paraId="0FBE77F7" w14:textId="57651E1B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544" w:type="dxa"/>
          </w:tcPr>
          <w:p w14:paraId="13296CF7" w14:textId="6D773EC0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Talent</w:t>
            </w:r>
          </w:p>
        </w:tc>
        <w:tc>
          <w:tcPr>
            <w:tcW w:w="6102" w:type="dxa"/>
          </w:tcPr>
          <w:p w14:paraId="3746020B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0 ML engineers; admin staff manages via Bedrock console.</w:t>
            </w:r>
          </w:p>
        </w:tc>
      </w:tr>
      <w:tr w:rsidR="00B940B7" w:rsidRPr="00B940B7" w14:paraId="7ED0C306" w14:textId="77777777" w:rsidTr="00B940B7">
        <w:tc>
          <w:tcPr>
            <w:tcW w:w="421" w:type="dxa"/>
          </w:tcPr>
          <w:p w14:paraId="2474C1BC" w14:textId="5D40D9BC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544" w:type="dxa"/>
          </w:tcPr>
          <w:p w14:paraId="284F88D7" w14:textId="6A01A163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5-Year TCO</w:t>
            </w:r>
          </w:p>
        </w:tc>
        <w:tc>
          <w:tcPr>
            <w:tcW w:w="6102" w:type="dxa"/>
          </w:tcPr>
          <w:p w14:paraId="0E416BC9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～</w:t>
            </w:r>
            <w:r w:rsidRPr="00B940B7">
              <w:rPr>
                <w:rFonts w:ascii="Arial Narrow" w:hAnsi="Arial Narrow"/>
                <w:sz w:val="22"/>
                <w:szCs w:val="22"/>
              </w:rPr>
              <w:t>$45K (API + admin time + compliance reviews).</w:t>
            </w:r>
          </w:p>
        </w:tc>
      </w:tr>
      <w:tr w:rsidR="00B940B7" w:rsidRPr="00B940B7" w14:paraId="1E5A3A88" w14:textId="77777777" w:rsidTr="00B940B7">
        <w:tc>
          <w:tcPr>
            <w:tcW w:w="421" w:type="dxa"/>
          </w:tcPr>
          <w:p w14:paraId="5BE7025C" w14:textId="1BEDD8AA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544" w:type="dxa"/>
          </w:tcPr>
          <w:p w14:paraId="29D6C88C" w14:textId="1F52C142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Top Risk &amp; Mitigation</w:t>
            </w:r>
          </w:p>
        </w:tc>
        <w:tc>
          <w:tcPr>
            <w:tcW w:w="6102" w:type="dxa"/>
          </w:tcPr>
          <w:p w14:paraId="2FD87701" w14:textId="75546B70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B940B7" w14:paraId="0A5E31CB" w14:textId="77777777" w:rsidTr="00B940B7">
        <w:tc>
          <w:tcPr>
            <w:tcW w:w="421" w:type="dxa"/>
          </w:tcPr>
          <w:p w14:paraId="1AA866D3" w14:textId="0E9DC3A8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544" w:type="dxa"/>
          </w:tcPr>
          <w:p w14:paraId="06842CBB" w14:textId="7FE54D43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90-Day Success Metric</w:t>
            </w:r>
          </w:p>
        </w:tc>
        <w:tc>
          <w:tcPr>
            <w:tcW w:w="6102" w:type="dxa"/>
          </w:tcPr>
          <w:p w14:paraId="17B4B3B0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 xml:space="preserve">80% of staff </w:t>
            </w:r>
            <w:proofErr w:type="gramStart"/>
            <w:r w:rsidRPr="00B940B7">
              <w:rPr>
                <w:rFonts w:ascii="Arial Narrow" w:hAnsi="Arial Narrow"/>
                <w:sz w:val="22"/>
                <w:szCs w:val="22"/>
              </w:rPr>
              <w:t>use</w:t>
            </w:r>
            <w:proofErr w:type="gramEnd"/>
            <w:r w:rsidRPr="00B940B7">
              <w:rPr>
                <w:rFonts w:ascii="Arial Narrow" w:hAnsi="Arial Narrow"/>
                <w:sz w:val="22"/>
                <w:szCs w:val="22"/>
              </w:rPr>
              <w:t xml:space="preserve"> weekly; 70% "found what I needed" rate; zero PHI in prompt logs.</w:t>
            </w:r>
          </w:p>
        </w:tc>
      </w:tr>
      <w:tr w:rsidR="00B940B7" w:rsidRPr="00B940B7" w14:paraId="51064EEF" w14:textId="77777777" w:rsidTr="00B940B7">
        <w:tc>
          <w:tcPr>
            <w:tcW w:w="421" w:type="dxa"/>
          </w:tcPr>
          <w:p w14:paraId="6CB20311" w14:textId="5567CBF6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544" w:type="dxa"/>
          </w:tcPr>
          <w:p w14:paraId="5AA8FDD4" w14:textId="03D674BB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Trap Avoided</w:t>
            </w:r>
          </w:p>
        </w:tc>
        <w:tc>
          <w:tcPr>
            <w:tcW w:w="6102" w:type="dxa"/>
          </w:tcPr>
          <w:p w14:paraId="201E99FD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Buying a GPU box for "privacy" with no pipelines or talent.</w:t>
            </w:r>
          </w:p>
        </w:tc>
      </w:tr>
    </w:tbl>
    <w:p w14:paraId="7A0F005C" w14:textId="77777777" w:rsidR="00641226" w:rsidRPr="007B6BF1" w:rsidRDefault="00641226" w:rsidP="00641226">
      <w:pPr>
        <w:rPr>
          <w:rFonts w:ascii="Arial Narrow" w:hAnsi="Arial Narrow"/>
        </w:rPr>
      </w:pPr>
    </w:p>
    <w:p w14:paraId="60D145F0" w14:textId="77777777" w:rsidR="00B940B7" w:rsidRDefault="00B940B7">
      <w:pPr>
        <w:widowControl/>
        <w:spacing w:before="0" w:after="160" w:line="278" w:lineRule="auto"/>
        <w:jc w:val="left"/>
        <w:rPr>
          <w:rFonts w:ascii="Arial Narrow" w:eastAsiaTheme="majorEastAsia" w:hAnsi="Arial Narrow" w:cstheme="majorBidi"/>
          <w:b/>
          <w:bCs/>
          <w:color w:val="auto"/>
          <w:sz w:val="28"/>
          <w:szCs w:val="28"/>
        </w:rPr>
      </w:pPr>
      <w:r>
        <w:rPr>
          <w:rFonts w:ascii="Arial Narrow" w:hAnsi="Arial Narrow"/>
          <w:b/>
          <w:bCs/>
          <w:color w:val="auto"/>
          <w:sz w:val="28"/>
          <w:szCs w:val="28"/>
        </w:rPr>
        <w:br w:type="page"/>
      </w:r>
    </w:p>
    <w:p w14:paraId="2C8DCBF3" w14:textId="310325E3" w:rsidR="00641226" w:rsidRPr="003D083A" w:rsidRDefault="00641226" w:rsidP="00641226">
      <w:pPr>
        <w:pStyle w:val="Heading3"/>
        <w:rPr>
          <w:rFonts w:ascii="Arial Narrow" w:hAnsi="Arial Narrow"/>
          <w:b/>
          <w:bCs/>
          <w:color w:val="auto"/>
          <w:sz w:val="28"/>
          <w:szCs w:val="28"/>
        </w:rPr>
      </w:pPr>
      <w:r w:rsidRPr="003D083A">
        <w:rPr>
          <w:rFonts w:ascii="Arial Narrow" w:hAnsi="Arial Narrow"/>
          <w:b/>
          <w:bCs/>
          <w:color w:val="auto"/>
          <w:sz w:val="28"/>
          <w:szCs w:val="28"/>
        </w:rPr>
        <w:lastRenderedPageBreak/>
        <w:t>Team B — Mid-Market (350 people, 5-person technical team, millions of tokens/month, PII)</w:t>
      </w:r>
    </w:p>
    <w:p w14:paraId="56D5ECF0" w14:textId="77777777" w:rsidR="00641226" w:rsidRPr="007B6BF1" w:rsidRDefault="00641226" w:rsidP="00641226">
      <w:pPr>
        <w:rPr>
          <w:rFonts w:ascii="Arial Narrow" w:hAnsi="Arial Narrow"/>
        </w:rPr>
      </w:pPr>
      <w:r w:rsidRPr="007B6BF1">
        <w:rPr>
          <w:rFonts w:ascii="Arial Narrow" w:hAnsi="Arial Narrow"/>
          <w:b/>
        </w:rPr>
        <w:t>Chosen Sector:</w:t>
      </w:r>
      <w:r w:rsidRPr="007B6BF1">
        <w:rPr>
          <w:rFonts w:ascii="Arial Narrow" w:hAnsi="Arial Narrow"/>
        </w:rPr>
        <w:t xml:space="preserve"> </w:t>
      </w:r>
      <w:r w:rsidRPr="007B6BF1">
        <w:rPr>
          <w:rFonts w:ascii="Arial Narrow" w:hAnsi="Arial Narrow"/>
          <w:i/>
        </w:rPr>
        <w:t>Financial Services (Regional Credit Union)</w:t>
      </w:r>
    </w:p>
    <w:tbl>
      <w:tblPr>
        <w:tblStyle w:val="TableGrid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6378"/>
      </w:tblGrid>
      <w:tr w:rsidR="00B940B7" w:rsidRPr="007B6BF1" w14:paraId="6447FF2A" w14:textId="77777777" w:rsidTr="00B940B7">
        <w:tc>
          <w:tcPr>
            <w:tcW w:w="421" w:type="dxa"/>
            <w:vAlign w:val="top"/>
          </w:tcPr>
          <w:p w14:paraId="7F53CAB8" w14:textId="73FC6BBB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2268" w:type="dxa"/>
          </w:tcPr>
          <w:p w14:paraId="67EF8DD9" w14:textId="1EB9861D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6378" w:type="dxa"/>
          </w:tcPr>
          <w:p w14:paraId="6C21B5CA" w14:textId="77777777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Recommendation</w:t>
            </w:r>
          </w:p>
        </w:tc>
      </w:tr>
      <w:tr w:rsidR="00B940B7" w:rsidRPr="007B6BF1" w14:paraId="3FD98875" w14:textId="77777777" w:rsidTr="00B940B7">
        <w:tc>
          <w:tcPr>
            <w:tcW w:w="421" w:type="dxa"/>
          </w:tcPr>
          <w:p w14:paraId="0A9AB2E6" w14:textId="35BDCEF5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3914E6F8" w14:textId="0AAA2ABD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Company / Size / Sector</w:t>
            </w:r>
          </w:p>
        </w:tc>
        <w:tc>
          <w:tcPr>
            <w:tcW w:w="6378" w:type="dxa"/>
          </w:tcPr>
          <w:p w14:paraId="71ED8378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350-employee regional credit union; Financial Services; PII, GLBA, PCI-DSS.</w:t>
            </w:r>
          </w:p>
        </w:tc>
      </w:tr>
      <w:tr w:rsidR="00B940B7" w:rsidRPr="007B6BF1" w14:paraId="4563A77E" w14:textId="77777777" w:rsidTr="00B940B7">
        <w:tc>
          <w:tcPr>
            <w:tcW w:w="421" w:type="dxa"/>
          </w:tcPr>
          <w:p w14:paraId="5349FBE1" w14:textId="4DB967BE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1754BFB5" w14:textId="66775884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Use Case &amp; Business Value</w:t>
            </w:r>
          </w:p>
        </w:tc>
        <w:tc>
          <w:tcPr>
            <w:tcW w:w="6378" w:type="dxa"/>
          </w:tcPr>
          <w:p w14:paraId="294B3602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 xml:space="preserve">Hybrid: (1) Customer support triage (public Q1), (2) Internal loan-doc RAG (private Q2/Q4). Reduces loan processing </w:t>
            </w:r>
            <w:proofErr w:type="gramStart"/>
            <w:r w:rsidRPr="00B940B7">
              <w:rPr>
                <w:rFonts w:ascii="Arial Narrow" w:hAnsi="Arial Narrow"/>
                <w:sz w:val="22"/>
                <w:szCs w:val="22"/>
              </w:rPr>
              <w:t>time</w:t>
            </w:r>
            <w:proofErr w:type="gramEnd"/>
            <w:r w:rsidRPr="00B940B7">
              <w:rPr>
                <w:rFonts w:ascii="Arial Narrow" w:hAnsi="Arial Narrow"/>
                <w:sz w:val="22"/>
                <w:szCs w:val="22"/>
              </w:rPr>
              <w:t xml:space="preserve"> 40%.</w:t>
            </w:r>
          </w:p>
        </w:tc>
      </w:tr>
      <w:tr w:rsidR="00B940B7" w:rsidRPr="007B6BF1" w14:paraId="728ACBC2" w14:textId="77777777" w:rsidTr="00B940B7">
        <w:tc>
          <w:tcPr>
            <w:tcW w:w="421" w:type="dxa"/>
          </w:tcPr>
          <w:p w14:paraId="2C9703D6" w14:textId="5CCDBC96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1B1D7287" w14:textId="0624AC16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Quadrant</w:t>
            </w:r>
          </w:p>
        </w:tc>
        <w:tc>
          <w:tcPr>
            <w:tcW w:w="6378" w:type="dxa"/>
          </w:tcPr>
          <w:p w14:paraId="53BF7225" w14:textId="42AAA831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7B6BF1" w14:paraId="222BAE59" w14:textId="77777777" w:rsidTr="00B940B7">
        <w:tc>
          <w:tcPr>
            <w:tcW w:w="421" w:type="dxa"/>
          </w:tcPr>
          <w:p w14:paraId="600DF798" w14:textId="5BC8BB27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1B7B4E8" w14:textId="07FA2E81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Open/Closed &amp; Hosted/API</w:t>
            </w:r>
          </w:p>
        </w:tc>
        <w:tc>
          <w:tcPr>
            <w:tcW w:w="6378" w:type="dxa"/>
          </w:tcPr>
          <w:p w14:paraId="0FA4039F" w14:textId="2803270F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7B6BF1" w14:paraId="22055664" w14:textId="77777777" w:rsidTr="00B940B7">
        <w:tc>
          <w:tcPr>
            <w:tcW w:w="421" w:type="dxa"/>
          </w:tcPr>
          <w:p w14:paraId="488E0B33" w14:textId="3EC0C041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0CC6008" w14:textId="0117385C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Model(s) &amp; Adoption Position</w:t>
            </w:r>
          </w:p>
        </w:tc>
        <w:tc>
          <w:tcPr>
            <w:tcW w:w="6378" w:type="dxa"/>
          </w:tcPr>
          <w:p w14:paraId="3B8CC243" w14:textId="1BFE3A53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7B6BF1" w14:paraId="0ADAB6B0" w14:textId="77777777" w:rsidTr="00B940B7">
        <w:tc>
          <w:tcPr>
            <w:tcW w:w="421" w:type="dxa"/>
          </w:tcPr>
          <w:p w14:paraId="09E8AE2A" w14:textId="039C4579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1CFF54C" w14:textId="2759894B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Regulation</w:t>
            </w:r>
          </w:p>
        </w:tc>
        <w:tc>
          <w:tcPr>
            <w:tcW w:w="6378" w:type="dxa"/>
          </w:tcPr>
          <w:p w14:paraId="62023C93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GLBA, PCI-DSS; PII must stay in VPC; audit trails mandatory.</w:t>
            </w:r>
          </w:p>
        </w:tc>
      </w:tr>
      <w:tr w:rsidR="00B940B7" w:rsidRPr="007B6BF1" w14:paraId="3574875C" w14:textId="77777777" w:rsidTr="00B940B7">
        <w:tc>
          <w:tcPr>
            <w:tcW w:w="421" w:type="dxa"/>
          </w:tcPr>
          <w:p w14:paraId="260F14C8" w14:textId="1D21EDDA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039F24E7" w14:textId="3A61A40C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Volume</w:t>
            </w:r>
          </w:p>
        </w:tc>
        <w:tc>
          <w:tcPr>
            <w:tcW w:w="6378" w:type="dxa"/>
          </w:tcPr>
          <w:p w14:paraId="0B5776C8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～</w:t>
            </w:r>
            <w:r w:rsidRPr="00B940B7">
              <w:rPr>
                <w:rFonts w:ascii="Arial Narrow" w:hAnsi="Arial Narrow"/>
                <w:sz w:val="22"/>
                <w:szCs w:val="22"/>
              </w:rPr>
              <w:t>8M tokens/month. High stable volume → self-host GPU cluster cost-effective for RAG.</w:t>
            </w:r>
          </w:p>
        </w:tc>
      </w:tr>
      <w:tr w:rsidR="00B940B7" w:rsidRPr="007B6BF1" w14:paraId="655CE6C3" w14:textId="77777777" w:rsidTr="00B940B7">
        <w:tc>
          <w:tcPr>
            <w:tcW w:w="421" w:type="dxa"/>
          </w:tcPr>
          <w:p w14:paraId="3EE317F4" w14:textId="39AE9532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5279B0CF" w14:textId="6438CEAA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Talent</w:t>
            </w:r>
          </w:p>
        </w:tc>
        <w:tc>
          <w:tcPr>
            <w:tcW w:w="6378" w:type="dxa"/>
          </w:tcPr>
          <w:p w14:paraId="2180CD9E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 xml:space="preserve">5-person technical team (backend engineers, no dedicated </w:t>
            </w:r>
            <w:proofErr w:type="spellStart"/>
            <w:r w:rsidRPr="00B940B7">
              <w:rPr>
                <w:rFonts w:ascii="Arial Narrow" w:hAnsi="Arial Narrow"/>
                <w:sz w:val="22"/>
                <w:szCs w:val="22"/>
              </w:rPr>
              <w:t>MLOps</w:t>
            </w:r>
            <w:proofErr w:type="spellEnd"/>
            <w:r w:rsidRPr="00B940B7">
              <w:rPr>
                <w:rFonts w:ascii="Arial Narrow" w:hAnsi="Arial Narrow"/>
                <w:sz w:val="22"/>
                <w:szCs w:val="22"/>
              </w:rPr>
              <w:t xml:space="preserve">). Use </w:t>
            </w:r>
            <w:proofErr w:type="spellStart"/>
            <w:r w:rsidRPr="00B940B7">
              <w:rPr>
                <w:rFonts w:ascii="Arial Narrow" w:hAnsi="Arial Narrow"/>
                <w:sz w:val="22"/>
                <w:szCs w:val="22"/>
              </w:rPr>
              <w:t>vLLM</w:t>
            </w:r>
            <w:proofErr w:type="spellEnd"/>
            <w:r w:rsidRPr="00B940B7">
              <w:rPr>
                <w:rFonts w:ascii="Arial Narrow" w:hAnsi="Arial Narrow"/>
                <w:sz w:val="22"/>
                <w:szCs w:val="22"/>
              </w:rPr>
              <w:t xml:space="preserve"> + managed GPU.</w:t>
            </w:r>
          </w:p>
        </w:tc>
      </w:tr>
      <w:tr w:rsidR="00B940B7" w:rsidRPr="007B6BF1" w14:paraId="261A5FDA" w14:textId="77777777" w:rsidTr="00B940B7">
        <w:tc>
          <w:tcPr>
            <w:tcW w:w="421" w:type="dxa"/>
          </w:tcPr>
          <w:p w14:paraId="04A37F83" w14:textId="799E6033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14:paraId="380DA1CE" w14:textId="7D228C74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5-Year TCO</w:t>
            </w:r>
          </w:p>
        </w:tc>
        <w:tc>
          <w:tcPr>
            <w:tcW w:w="6378" w:type="dxa"/>
          </w:tcPr>
          <w:p w14:paraId="7E0522F0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～</w:t>
            </w:r>
            <w:r w:rsidRPr="00B940B7">
              <w:rPr>
                <w:rFonts w:ascii="Arial Narrow" w:hAnsi="Arial Narrow"/>
                <w:sz w:val="22"/>
                <w:szCs w:val="22"/>
              </w:rPr>
              <w:t>680K (API~45K/yr + GPU lease ~8K/</w:t>
            </w:r>
            <w:proofErr w:type="spellStart"/>
            <w:r w:rsidRPr="00B940B7">
              <w:rPr>
                <w:rFonts w:ascii="Arial Narrow" w:hAnsi="Arial Narrow"/>
                <w:sz w:val="22"/>
                <w:szCs w:val="22"/>
              </w:rPr>
              <w:t>mo+engtime</w:t>
            </w:r>
            <w:proofErr w:type="spellEnd"/>
            <w:r w:rsidRPr="00B940B7">
              <w:rPr>
                <w:rFonts w:ascii="Arial Narrow" w:hAnsi="Arial Narrow"/>
                <w:sz w:val="22"/>
                <w:szCs w:val="22"/>
              </w:rPr>
              <w:t xml:space="preserve"> ~120K/yr + audit/compliance).</w:t>
            </w:r>
          </w:p>
        </w:tc>
      </w:tr>
      <w:tr w:rsidR="00B940B7" w:rsidRPr="007B6BF1" w14:paraId="663B69AF" w14:textId="77777777" w:rsidTr="00B940B7">
        <w:tc>
          <w:tcPr>
            <w:tcW w:w="421" w:type="dxa"/>
          </w:tcPr>
          <w:p w14:paraId="5D7F6AFC" w14:textId="4BDD77D7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14:paraId="5CDC020A" w14:textId="2E78F8B7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Top Risk &amp; Mitigation</w:t>
            </w:r>
          </w:p>
        </w:tc>
        <w:tc>
          <w:tcPr>
            <w:tcW w:w="6378" w:type="dxa"/>
          </w:tcPr>
          <w:p w14:paraId="7F471D49" w14:textId="03104DC2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7B6BF1" w14:paraId="786582B5" w14:textId="77777777" w:rsidTr="00B940B7">
        <w:tc>
          <w:tcPr>
            <w:tcW w:w="421" w:type="dxa"/>
          </w:tcPr>
          <w:p w14:paraId="0FE52CF8" w14:textId="0A4B61EE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268" w:type="dxa"/>
          </w:tcPr>
          <w:p w14:paraId="10525BA2" w14:textId="4584F4BB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90-Day Success Metric</w:t>
            </w:r>
          </w:p>
        </w:tc>
        <w:tc>
          <w:tcPr>
            <w:tcW w:w="6378" w:type="dxa"/>
          </w:tcPr>
          <w:p w14:paraId="42920F66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Pilot on 50k loan docs; 95% retrieval accuracy; $0.01/query avg cost; zero PII leakage in tests.</w:t>
            </w:r>
          </w:p>
        </w:tc>
      </w:tr>
      <w:tr w:rsidR="00B940B7" w:rsidRPr="007B6BF1" w14:paraId="08B89CE9" w14:textId="77777777" w:rsidTr="00B940B7">
        <w:tc>
          <w:tcPr>
            <w:tcW w:w="421" w:type="dxa"/>
          </w:tcPr>
          <w:p w14:paraId="63068CE2" w14:textId="08F88D61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14:paraId="695464F8" w14:textId="539F54DC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Routing Justification</w:t>
            </w:r>
          </w:p>
        </w:tc>
        <w:tc>
          <w:tcPr>
            <w:tcW w:w="6378" w:type="dxa"/>
          </w:tcPr>
          <w:p w14:paraId="65B26AD0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 xml:space="preserve">&lt;5% complex → frontier API; </w:t>
            </w:r>
            <w:r w:rsidRPr="00B940B7">
              <w:rPr>
                <w:rFonts w:ascii="Arial Narrow" w:hAnsi="Arial Narrow"/>
                <w:sz w:val="22"/>
                <w:szCs w:val="22"/>
              </w:rPr>
              <w:t>～</w:t>
            </w:r>
            <w:r w:rsidRPr="00B940B7">
              <w:rPr>
                <w:rFonts w:ascii="Arial Narrow" w:hAnsi="Arial Narrow"/>
                <w:sz w:val="22"/>
                <w:szCs w:val="22"/>
              </w:rPr>
              <w:t xml:space="preserve">80% extraction/classification → open-weight self-host; </w:t>
            </w:r>
            <w:r w:rsidRPr="00B940B7">
              <w:rPr>
                <w:rFonts w:ascii="Arial Narrow" w:hAnsi="Arial Narrow"/>
                <w:sz w:val="22"/>
                <w:szCs w:val="22"/>
              </w:rPr>
              <w:t>～</w:t>
            </w:r>
            <w:r w:rsidRPr="00B940B7">
              <w:rPr>
                <w:rFonts w:ascii="Arial Narrow" w:hAnsi="Arial Narrow"/>
                <w:sz w:val="22"/>
                <w:szCs w:val="22"/>
              </w:rPr>
              <w:t>15% commodity → Flash API.</w:t>
            </w:r>
          </w:p>
        </w:tc>
      </w:tr>
    </w:tbl>
    <w:p w14:paraId="35245DD8" w14:textId="77777777" w:rsidR="00B940B7" w:rsidRDefault="00B940B7" w:rsidP="00641226">
      <w:pPr>
        <w:pStyle w:val="Heading3"/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232F065A" w14:textId="77777777" w:rsidR="00B940B7" w:rsidRDefault="00B940B7">
      <w:pPr>
        <w:widowControl/>
        <w:spacing w:before="0" w:after="160" w:line="278" w:lineRule="auto"/>
        <w:jc w:val="left"/>
        <w:rPr>
          <w:rFonts w:ascii="Arial Narrow" w:eastAsiaTheme="majorEastAsia" w:hAnsi="Arial Narrow" w:cstheme="majorBidi"/>
          <w:b/>
          <w:bCs/>
          <w:color w:val="auto"/>
          <w:sz w:val="28"/>
          <w:szCs w:val="28"/>
        </w:rPr>
      </w:pPr>
      <w:r>
        <w:rPr>
          <w:rFonts w:ascii="Arial Narrow" w:hAnsi="Arial Narrow"/>
          <w:b/>
          <w:bCs/>
          <w:color w:val="auto"/>
          <w:sz w:val="28"/>
          <w:szCs w:val="28"/>
        </w:rPr>
        <w:br w:type="page"/>
      </w:r>
    </w:p>
    <w:p w14:paraId="14779E5E" w14:textId="4F30EE33" w:rsidR="00641226" w:rsidRPr="003D083A" w:rsidRDefault="00641226" w:rsidP="00641226">
      <w:pPr>
        <w:pStyle w:val="Heading3"/>
        <w:rPr>
          <w:rFonts w:ascii="Arial Narrow" w:hAnsi="Arial Narrow"/>
          <w:b/>
          <w:bCs/>
          <w:color w:val="auto"/>
          <w:sz w:val="28"/>
          <w:szCs w:val="28"/>
        </w:rPr>
      </w:pPr>
      <w:r w:rsidRPr="003D083A">
        <w:rPr>
          <w:rFonts w:ascii="Arial Narrow" w:hAnsi="Arial Narrow"/>
          <w:b/>
          <w:bCs/>
          <w:color w:val="auto"/>
          <w:sz w:val="28"/>
          <w:szCs w:val="28"/>
        </w:rPr>
        <w:lastRenderedPageBreak/>
        <w:t>Team C — Large Regulated (10,000+ staff, strict compliance, global)</w:t>
      </w:r>
    </w:p>
    <w:p w14:paraId="4C0342CE" w14:textId="77777777" w:rsidR="00641226" w:rsidRPr="007B6BF1" w:rsidRDefault="00641226" w:rsidP="00641226">
      <w:pPr>
        <w:rPr>
          <w:rFonts w:ascii="Arial Narrow" w:hAnsi="Arial Narrow"/>
        </w:rPr>
      </w:pPr>
      <w:r w:rsidRPr="007B6BF1">
        <w:rPr>
          <w:rFonts w:ascii="Arial Narrow" w:hAnsi="Arial Narrow"/>
          <w:b/>
        </w:rPr>
        <w:t>Chosen Sector:</w:t>
      </w:r>
      <w:r w:rsidRPr="007B6BF1">
        <w:rPr>
          <w:rFonts w:ascii="Arial Narrow" w:hAnsi="Arial Narrow"/>
        </w:rPr>
        <w:t xml:space="preserve"> </w:t>
      </w:r>
      <w:r w:rsidRPr="007B6BF1">
        <w:rPr>
          <w:rFonts w:ascii="Arial Narrow" w:hAnsi="Arial Narrow"/>
          <w:i/>
        </w:rPr>
        <w:t>Public Sector (Federal Government Agency)</w:t>
      </w:r>
    </w:p>
    <w:tbl>
      <w:tblPr>
        <w:tblStyle w:val="TableGrid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126"/>
        <w:gridCol w:w="6662"/>
      </w:tblGrid>
      <w:tr w:rsidR="00B940B7" w:rsidRPr="007B6BF1" w14:paraId="5CA25DA2" w14:textId="77777777" w:rsidTr="00B940B7">
        <w:tc>
          <w:tcPr>
            <w:tcW w:w="421" w:type="dxa"/>
            <w:vAlign w:val="top"/>
          </w:tcPr>
          <w:p w14:paraId="5BB30DD2" w14:textId="730D7FDD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2126" w:type="dxa"/>
          </w:tcPr>
          <w:p w14:paraId="3426BDB1" w14:textId="79E8312A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6662" w:type="dxa"/>
          </w:tcPr>
          <w:p w14:paraId="4D47F582" w14:textId="77777777" w:rsidR="00B940B7" w:rsidRPr="00B940B7" w:rsidRDefault="00B940B7" w:rsidP="00B940B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Recommendation</w:t>
            </w:r>
          </w:p>
        </w:tc>
      </w:tr>
      <w:tr w:rsidR="00B940B7" w:rsidRPr="007B6BF1" w14:paraId="01B4D66A" w14:textId="77777777" w:rsidTr="00B940B7">
        <w:tc>
          <w:tcPr>
            <w:tcW w:w="421" w:type="dxa"/>
          </w:tcPr>
          <w:p w14:paraId="718002EB" w14:textId="67EF33A0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5BEEEEC9" w14:textId="7F260AFA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Company / Size / Sector</w:t>
            </w:r>
          </w:p>
        </w:tc>
        <w:tc>
          <w:tcPr>
            <w:tcW w:w="6662" w:type="dxa"/>
          </w:tcPr>
          <w:p w14:paraId="784B742D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12,000-employee federal agency; Public Sector; classified-adjacent data, FedRAMP, ITAR, GDPR.</w:t>
            </w:r>
          </w:p>
        </w:tc>
      </w:tr>
      <w:tr w:rsidR="00B940B7" w:rsidRPr="007B6BF1" w14:paraId="5DE69066" w14:textId="77777777" w:rsidTr="00B940B7">
        <w:tc>
          <w:tcPr>
            <w:tcW w:w="421" w:type="dxa"/>
          </w:tcPr>
          <w:p w14:paraId="3C379AEA" w14:textId="5E9C6228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119261EC" w14:textId="56FCD300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Use Case &amp; Business Value</w:t>
            </w:r>
          </w:p>
        </w:tc>
        <w:tc>
          <w:tcPr>
            <w:tcW w:w="6662" w:type="dxa"/>
          </w:tcPr>
          <w:p w14:paraId="37C3642B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Multi-layer: (1) Public chatbot (Q1, gov cloud), (2) Internal policy RAG (Q3/Q4), (3) Document processing (Q4). Improves citizen response time 50%.</w:t>
            </w:r>
          </w:p>
        </w:tc>
      </w:tr>
      <w:tr w:rsidR="00B940B7" w:rsidRPr="007B6BF1" w14:paraId="37999026" w14:textId="77777777" w:rsidTr="00B940B7">
        <w:tc>
          <w:tcPr>
            <w:tcW w:w="421" w:type="dxa"/>
          </w:tcPr>
          <w:p w14:paraId="52A862A2" w14:textId="306E7AFD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713E7D88" w14:textId="3C3EDCC6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Quadrant</w:t>
            </w:r>
          </w:p>
        </w:tc>
        <w:tc>
          <w:tcPr>
            <w:tcW w:w="6662" w:type="dxa"/>
          </w:tcPr>
          <w:p w14:paraId="0562BA81" w14:textId="2383C985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7B6BF1" w14:paraId="75EB9BB8" w14:textId="77777777" w:rsidTr="00B940B7">
        <w:tc>
          <w:tcPr>
            <w:tcW w:w="421" w:type="dxa"/>
          </w:tcPr>
          <w:p w14:paraId="4F7FC3A3" w14:textId="19710950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193BDEDE" w14:textId="20DCBE5D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Open/Closed &amp; Hosted/API</w:t>
            </w:r>
          </w:p>
        </w:tc>
        <w:tc>
          <w:tcPr>
            <w:tcW w:w="6662" w:type="dxa"/>
          </w:tcPr>
          <w:p w14:paraId="28E1B50E" w14:textId="11D6B615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7B6BF1" w14:paraId="0769959C" w14:textId="77777777" w:rsidTr="00B940B7">
        <w:tc>
          <w:tcPr>
            <w:tcW w:w="421" w:type="dxa"/>
          </w:tcPr>
          <w:p w14:paraId="39D582FE" w14:textId="207F0DE4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6AC1E68A" w14:textId="7381137C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Model(s) &amp; Adoption Position</w:t>
            </w:r>
          </w:p>
        </w:tc>
        <w:tc>
          <w:tcPr>
            <w:tcW w:w="6662" w:type="dxa"/>
          </w:tcPr>
          <w:p w14:paraId="2BB63059" w14:textId="75140809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7B6BF1" w14:paraId="439B8FDF" w14:textId="77777777" w:rsidTr="00B940B7">
        <w:tc>
          <w:tcPr>
            <w:tcW w:w="421" w:type="dxa"/>
          </w:tcPr>
          <w:p w14:paraId="13B27528" w14:textId="4544B6C6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14:paraId="789D3BE3" w14:textId="4F0F295B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Regulation</w:t>
            </w:r>
          </w:p>
        </w:tc>
        <w:tc>
          <w:tcPr>
            <w:tcW w:w="6662" w:type="dxa"/>
          </w:tcPr>
          <w:p w14:paraId="430F78D6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FedRAMP High, ITAR, GDPR, EU AI Act (transparency). No PRC-cloud API; self-host only on US/EU VPC.</w:t>
            </w:r>
          </w:p>
        </w:tc>
      </w:tr>
      <w:tr w:rsidR="00B940B7" w:rsidRPr="007B6BF1" w14:paraId="33B596C4" w14:textId="77777777" w:rsidTr="00B940B7">
        <w:tc>
          <w:tcPr>
            <w:tcW w:w="421" w:type="dxa"/>
          </w:tcPr>
          <w:p w14:paraId="3C74865C" w14:textId="7824A6B0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14:paraId="41EB2797" w14:textId="404544FD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Volume</w:t>
            </w:r>
          </w:p>
        </w:tc>
        <w:tc>
          <w:tcPr>
            <w:tcW w:w="6662" w:type="dxa"/>
          </w:tcPr>
          <w:p w14:paraId="755AB3EE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～</w:t>
            </w:r>
            <w:r w:rsidRPr="00B940B7">
              <w:rPr>
                <w:rFonts w:ascii="Arial Narrow" w:hAnsi="Arial Narrow"/>
                <w:sz w:val="22"/>
                <w:szCs w:val="22"/>
              </w:rPr>
              <w:t>50M+ tokens/month. Self-host clearly wins on TCO at this scale.</w:t>
            </w:r>
          </w:p>
        </w:tc>
      </w:tr>
      <w:tr w:rsidR="00B940B7" w:rsidRPr="007B6BF1" w14:paraId="12A00B21" w14:textId="77777777" w:rsidTr="00B940B7">
        <w:tc>
          <w:tcPr>
            <w:tcW w:w="421" w:type="dxa"/>
          </w:tcPr>
          <w:p w14:paraId="6191FB4D" w14:textId="311BA932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26" w:type="dxa"/>
          </w:tcPr>
          <w:p w14:paraId="5865A6DB" w14:textId="5D535934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Talent</w:t>
            </w:r>
          </w:p>
        </w:tc>
        <w:tc>
          <w:tcPr>
            <w:tcW w:w="6662" w:type="dxa"/>
          </w:tcPr>
          <w:p w14:paraId="4EBF0E9A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25-person platform team (</w:t>
            </w:r>
            <w:proofErr w:type="spellStart"/>
            <w:r w:rsidRPr="00B940B7">
              <w:rPr>
                <w:rFonts w:ascii="Arial Narrow" w:hAnsi="Arial Narrow"/>
                <w:sz w:val="22"/>
                <w:szCs w:val="22"/>
              </w:rPr>
              <w:t>MLOps</w:t>
            </w:r>
            <w:proofErr w:type="spellEnd"/>
            <w:r w:rsidRPr="00B940B7">
              <w:rPr>
                <w:rFonts w:ascii="Arial Narrow" w:hAnsi="Arial Narrow"/>
                <w:sz w:val="22"/>
                <w:szCs w:val="22"/>
              </w:rPr>
              <w:t>, security, SRE).</w:t>
            </w:r>
          </w:p>
        </w:tc>
      </w:tr>
      <w:tr w:rsidR="00B940B7" w:rsidRPr="007B6BF1" w14:paraId="04240A67" w14:textId="77777777" w:rsidTr="00B940B7">
        <w:tc>
          <w:tcPr>
            <w:tcW w:w="421" w:type="dxa"/>
          </w:tcPr>
          <w:p w14:paraId="3C1C5F67" w14:textId="0D36B55D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14:paraId="20D7BB05" w14:textId="3862A9E4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5-Year TCO</w:t>
            </w:r>
          </w:p>
        </w:tc>
        <w:tc>
          <w:tcPr>
            <w:tcW w:w="6662" w:type="dxa"/>
          </w:tcPr>
          <w:p w14:paraId="0F2E73FB" w14:textId="77777777" w:rsidR="00B940B7" w:rsidRPr="00B940B7" w:rsidRDefault="00B940B7" w:rsidP="00B940B7">
            <w:pPr>
              <w:ind w:leftChars="-31" w:left="-68" w:firstLineChars="33" w:firstLine="73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~ 4.2M(GPU cluster ~ 80K/</w:t>
            </w:r>
            <w:proofErr w:type="spellStart"/>
            <w:r w:rsidRPr="00B940B7">
              <w:rPr>
                <w:rFonts w:ascii="Arial Narrow" w:hAnsi="Arial Narrow"/>
                <w:sz w:val="22"/>
                <w:szCs w:val="22"/>
              </w:rPr>
              <w:t>mo</w:t>
            </w:r>
            <w:proofErr w:type="spellEnd"/>
            <w:r w:rsidRPr="00B940B7">
              <w:rPr>
                <w:rFonts w:ascii="Arial Narrow" w:hAnsi="Arial Narrow"/>
                <w:sz w:val="22"/>
                <w:szCs w:val="22"/>
              </w:rPr>
              <w:t xml:space="preserve"> + platform team 3.5M + audit/compliance 3.5M+audit/compliance 400K + API reserve $100K).</w:t>
            </w:r>
          </w:p>
        </w:tc>
      </w:tr>
      <w:tr w:rsidR="00B940B7" w:rsidRPr="007B6BF1" w14:paraId="41E54603" w14:textId="77777777" w:rsidTr="00B940B7">
        <w:tc>
          <w:tcPr>
            <w:tcW w:w="421" w:type="dxa"/>
          </w:tcPr>
          <w:p w14:paraId="2C0D181E" w14:textId="06D86E3B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14:paraId="75AFB6F4" w14:textId="2784C883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Top Risk &amp; Mitigation</w:t>
            </w:r>
          </w:p>
        </w:tc>
        <w:tc>
          <w:tcPr>
            <w:tcW w:w="6662" w:type="dxa"/>
          </w:tcPr>
          <w:p w14:paraId="710AAEEA" w14:textId="1C853B41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40B7" w:rsidRPr="007B6BF1" w14:paraId="324D364D" w14:textId="77777777" w:rsidTr="00B940B7">
        <w:tc>
          <w:tcPr>
            <w:tcW w:w="421" w:type="dxa"/>
          </w:tcPr>
          <w:p w14:paraId="28D71EC1" w14:textId="38097ED0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26" w:type="dxa"/>
          </w:tcPr>
          <w:p w14:paraId="13BBB670" w14:textId="0D62F82A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90-Day Success Metric</w:t>
            </w:r>
          </w:p>
        </w:tc>
        <w:tc>
          <w:tcPr>
            <w:tcW w:w="6662" w:type="dxa"/>
          </w:tcPr>
          <w:p w14:paraId="235295E5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Pilot on 100k policy docs; 99% uptime; 100% audit trail coverage; zero data egress outside perimeter.</w:t>
            </w:r>
          </w:p>
        </w:tc>
      </w:tr>
      <w:tr w:rsidR="00B940B7" w:rsidRPr="007B6BF1" w14:paraId="033B1CF5" w14:textId="77777777" w:rsidTr="00B940B7">
        <w:tc>
          <w:tcPr>
            <w:tcW w:w="421" w:type="dxa"/>
          </w:tcPr>
          <w:p w14:paraId="6C3074C8" w14:textId="5F52BFF0" w:rsidR="00B940B7" w:rsidRPr="00B940B7" w:rsidRDefault="00B940B7" w:rsidP="00B940B7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126" w:type="dxa"/>
          </w:tcPr>
          <w:p w14:paraId="57290615" w14:textId="5FC38E21" w:rsidR="00B940B7" w:rsidRPr="00B940B7" w:rsidRDefault="00B940B7" w:rsidP="00B940B7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b/>
                <w:sz w:val="22"/>
                <w:szCs w:val="22"/>
              </w:rPr>
              <w:t>Governance Layers</w:t>
            </w:r>
          </w:p>
        </w:tc>
        <w:tc>
          <w:tcPr>
            <w:tcW w:w="6662" w:type="dxa"/>
          </w:tcPr>
          <w:p w14:paraId="5BDB32DD" w14:textId="77777777" w:rsidR="00B940B7" w:rsidRPr="00B940B7" w:rsidRDefault="00B940B7" w:rsidP="00B940B7">
            <w:pPr>
              <w:rPr>
                <w:rFonts w:ascii="Arial Narrow" w:hAnsi="Arial Narrow"/>
                <w:sz w:val="22"/>
                <w:szCs w:val="22"/>
              </w:rPr>
            </w:pPr>
            <w:r w:rsidRPr="00B940B7">
              <w:rPr>
                <w:rFonts w:ascii="Arial Narrow" w:hAnsi="Arial Narrow"/>
                <w:sz w:val="22"/>
                <w:szCs w:val="22"/>
              </w:rPr>
              <w:t>Model gateway → eval harness → human-in-loop (disputes) → rollback policy → FinOps dashboard.</w:t>
            </w:r>
          </w:p>
        </w:tc>
      </w:tr>
    </w:tbl>
    <w:p w14:paraId="069C29E8" w14:textId="77777777" w:rsidR="00B940B7" w:rsidRDefault="00B940B7" w:rsidP="00641226">
      <w:pPr>
        <w:pStyle w:val="Heading3"/>
        <w:rPr>
          <w:rFonts w:ascii="Arial Narrow" w:hAnsi="Arial Narrow"/>
          <w:b/>
          <w:bCs/>
          <w:color w:val="auto"/>
        </w:rPr>
      </w:pPr>
    </w:p>
    <w:p w14:paraId="1A775EB1" w14:textId="77777777" w:rsidR="00B940B7" w:rsidRDefault="00B940B7">
      <w:pPr>
        <w:widowControl/>
        <w:spacing w:before="0" w:after="160" w:line="278" w:lineRule="auto"/>
        <w:jc w:val="left"/>
        <w:rPr>
          <w:rFonts w:ascii="Arial Narrow" w:eastAsiaTheme="majorEastAsia" w:hAnsi="Arial Narrow" w:cstheme="majorBidi"/>
          <w:b/>
          <w:bCs/>
          <w:color w:val="auto"/>
          <w:sz w:val="32"/>
          <w:szCs w:val="32"/>
        </w:rPr>
      </w:pPr>
      <w:r>
        <w:rPr>
          <w:rFonts w:ascii="Arial Narrow" w:hAnsi="Arial Narrow"/>
          <w:b/>
          <w:bCs/>
          <w:color w:val="auto"/>
        </w:rPr>
        <w:br w:type="page"/>
      </w:r>
    </w:p>
    <w:p w14:paraId="64596D8B" w14:textId="300066E0" w:rsidR="00641226" w:rsidRPr="003D083A" w:rsidRDefault="00641226" w:rsidP="00641226">
      <w:pPr>
        <w:pStyle w:val="Heading3"/>
        <w:rPr>
          <w:rFonts w:ascii="Arial Narrow" w:hAnsi="Arial Narrow"/>
          <w:b/>
          <w:bCs/>
          <w:color w:val="auto"/>
        </w:rPr>
      </w:pPr>
      <w:r w:rsidRPr="003D083A">
        <w:rPr>
          <w:rFonts w:ascii="Arial Narrow" w:hAnsi="Arial Narrow"/>
          <w:b/>
          <w:bCs/>
          <w:color w:val="auto"/>
        </w:rPr>
        <w:lastRenderedPageBreak/>
        <w:t>Exercise Takeaway</w:t>
      </w:r>
    </w:p>
    <w:p w14:paraId="55CC5F3C" w14:textId="77777777" w:rsidR="00641226" w:rsidRPr="00B53308" w:rsidRDefault="00641226" w:rsidP="00641226">
      <w:pPr>
        <w:pStyle w:val="ListParagraph"/>
        <w:numPr>
          <w:ilvl w:val="0"/>
          <w:numId w:val="1"/>
        </w:numPr>
        <w:contextualSpacing w:val="0"/>
        <w:rPr>
          <w:rFonts w:ascii="Arial Narrow" w:hAnsi="Arial Narrow"/>
        </w:rPr>
      </w:pPr>
      <w:r w:rsidRPr="00B53308">
        <w:rPr>
          <w:rFonts w:ascii="Arial Narrow" w:hAnsi="Arial Narrow"/>
        </w:rPr>
        <w:t xml:space="preserve">State the quadrant before the model — architecture precedes vendor. </w:t>
      </w:r>
    </w:p>
    <w:p w14:paraId="1C6E76A9" w14:textId="77777777" w:rsidR="00641226" w:rsidRPr="00B53308" w:rsidRDefault="00641226" w:rsidP="00641226">
      <w:pPr>
        <w:pStyle w:val="ListParagraph"/>
        <w:numPr>
          <w:ilvl w:val="0"/>
          <w:numId w:val="1"/>
        </w:numPr>
        <w:contextualSpacing w:val="0"/>
        <w:rPr>
          <w:rFonts w:ascii="Arial Narrow" w:hAnsi="Arial Narrow"/>
        </w:rPr>
      </w:pPr>
      <w:r w:rsidRPr="00B53308">
        <w:rPr>
          <w:rFonts w:ascii="Arial Narrow" w:hAnsi="Arial Narrow"/>
        </w:rPr>
        <w:t xml:space="preserve">Route by task difficulty, not price alone. </w:t>
      </w:r>
    </w:p>
    <w:p w14:paraId="54CB0085" w14:textId="77777777" w:rsidR="00641226" w:rsidRPr="00B53308" w:rsidRDefault="00641226" w:rsidP="00641226">
      <w:pPr>
        <w:pStyle w:val="ListParagraph"/>
        <w:numPr>
          <w:ilvl w:val="0"/>
          <w:numId w:val="1"/>
        </w:numPr>
        <w:contextualSpacing w:val="0"/>
        <w:rPr>
          <w:rFonts w:ascii="Arial Narrow" w:hAnsi="Arial Narrow"/>
        </w:rPr>
      </w:pPr>
      <w:r w:rsidRPr="00B53308">
        <w:rPr>
          <w:rFonts w:ascii="Arial Narrow" w:hAnsi="Arial Narrow"/>
        </w:rPr>
        <w:t xml:space="preserve">Quantify 5-year TCO, not 1-month API sticker price. </w:t>
      </w:r>
    </w:p>
    <w:p w14:paraId="1CAC4B2A" w14:textId="769EB792" w:rsidR="00641226" w:rsidRPr="006865B0" w:rsidRDefault="00641226" w:rsidP="00641226">
      <w:pPr>
        <w:pStyle w:val="ListParagraph"/>
        <w:numPr>
          <w:ilvl w:val="0"/>
          <w:numId w:val="1"/>
        </w:numPr>
        <w:contextualSpacing w:val="0"/>
        <w:rPr>
          <w:rFonts w:ascii="Arial Narrow" w:hAnsi="Arial Narrow"/>
        </w:rPr>
      </w:pPr>
      <w:r w:rsidRPr="00B53308">
        <w:rPr>
          <w:rFonts w:ascii="Arial Narrow" w:hAnsi="Arial Narrow"/>
        </w:rPr>
        <w:t>Build a model-agnostic gateway so you swap models, not architecture, when</w:t>
      </w:r>
      <w:r w:rsidRPr="006865B0">
        <w:rPr>
          <w:rFonts w:ascii="Arial Narrow" w:hAnsi="Arial Narrow"/>
        </w:rPr>
        <w:t xml:space="preserve"> the leaderboard flips.</w:t>
      </w:r>
    </w:p>
    <w:p w14:paraId="15F61EF0" w14:textId="77777777" w:rsidR="006865B0" w:rsidRPr="006865B0" w:rsidRDefault="006865B0" w:rsidP="006865B0">
      <w:pPr>
        <w:pStyle w:val="Heading1"/>
        <w:rPr>
          <w:rFonts w:ascii="Arial Narrow" w:hAnsi="Arial Narrow"/>
          <w:b/>
          <w:bCs/>
          <w:color w:val="auto"/>
          <w:sz w:val="28"/>
          <w:szCs w:val="28"/>
        </w:rPr>
      </w:pPr>
      <w:r w:rsidRPr="006865B0">
        <w:rPr>
          <w:rFonts w:ascii="Arial Narrow" w:eastAsia="思源黑体" w:hAnsi="Arial Narrow" w:cs="Times New Roman"/>
          <w:b/>
          <w:bCs/>
          <w:color w:val="auto"/>
          <w:sz w:val="28"/>
          <w:szCs w:val="28"/>
        </w:rPr>
        <w:t>Debrief: What Good Recommendations Have in Common</w:t>
      </w:r>
    </w:p>
    <w:p w14:paraId="1E0D9F0D" w14:textId="77777777" w:rsidR="006865B0" w:rsidRPr="007A2FDE" w:rsidRDefault="006865B0" w:rsidP="006865B0">
      <w:pPr>
        <w:pStyle w:val="ListBullet"/>
        <w:tabs>
          <w:tab w:val="num" w:pos="360"/>
        </w:tabs>
        <w:ind w:left="360" w:hanging="360"/>
        <w:rPr>
          <w:rFonts w:ascii="Arial Narrow" w:hAnsi="Arial Narrow"/>
          <w:sz w:val="22"/>
          <w:szCs w:val="22"/>
        </w:rPr>
      </w:pPr>
      <w:r w:rsidRPr="007A2FDE">
        <w:rPr>
          <w:rFonts w:ascii="Arial Narrow" w:hAnsi="Arial Narrow"/>
          <w:sz w:val="22"/>
          <w:szCs w:val="22"/>
        </w:rPr>
        <w:t>They state the quadrant before the model — architecture precedes vendor.</w:t>
      </w:r>
    </w:p>
    <w:p w14:paraId="0B9B829A" w14:textId="77777777" w:rsidR="006865B0" w:rsidRPr="007A2FDE" w:rsidRDefault="006865B0" w:rsidP="006865B0">
      <w:pPr>
        <w:pStyle w:val="ListBullet"/>
        <w:tabs>
          <w:tab w:val="num" w:pos="360"/>
        </w:tabs>
        <w:ind w:left="360" w:hanging="360"/>
        <w:rPr>
          <w:rFonts w:ascii="Arial Narrow" w:hAnsi="Arial Narrow"/>
          <w:sz w:val="22"/>
          <w:szCs w:val="22"/>
        </w:rPr>
      </w:pPr>
      <w:r w:rsidRPr="007A2FDE">
        <w:rPr>
          <w:rFonts w:ascii="Arial Narrow" w:hAnsi="Arial Narrow"/>
          <w:sz w:val="22"/>
          <w:szCs w:val="22"/>
        </w:rPr>
        <w:t>They match deployment mode to data class, not to price alone.</w:t>
      </w:r>
    </w:p>
    <w:p w14:paraId="67EE0F5B" w14:textId="77777777" w:rsidR="006865B0" w:rsidRPr="007A2FDE" w:rsidRDefault="006865B0" w:rsidP="006865B0">
      <w:pPr>
        <w:pStyle w:val="ListBullet"/>
        <w:tabs>
          <w:tab w:val="num" w:pos="360"/>
        </w:tabs>
        <w:ind w:left="360" w:hanging="360"/>
        <w:rPr>
          <w:rFonts w:ascii="Arial Narrow" w:hAnsi="Arial Narrow"/>
          <w:sz w:val="22"/>
          <w:szCs w:val="22"/>
        </w:rPr>
      </w:pPr>
      <w:r w:rsidRPr="007A2FDE">
        <w:rPr>
          <w:rFonts w:ascii="Arial Narrow" w:hAnsi="Arial Narrow"/>
          <w:sz w:val="22"/>
          <w:szCs w:val="22"/>
        </w:rPr>
        <w:t>They route by task difficulty rather than sending every request to the flagship.</w:t>
      </w:r>
    </w:p>
    <w:p w14:paraId="32D005DA" w14:textId="77777777" w:rsidR="006865B0" w:rsidRPr="007A2FDE" w:rsidRDefault="006865B0" w:rsidP="006865B0">
      <w:pPr>
        <w:pStyle w:val="ListBullet"/>
        <w:tabs>
          <w:tab w:val="num" w:pos="360"/>
        </w:tabs>
        <w:ind w:left="360" w:hanging="360"/>
        <w:rPr>
          <w:rFonts w:ascii="Arial Narrow" w:hAnsi="Arial Narrow"/>
          <w:sz w:val="22"/>
          <w:szCs w:val="22"/>
        </w:rPr>
      </w:pPr>
      <w:r w:rsidRPr="007A2FDE">
        <w:rPr>
          <w:rFonts w:ascii="Arial Narrow" w:hAnsi="Arial Narrow"/>
          <w:sz w:val="22"/>
          <w:szCs w:val="22"/>
        </w:rPr>
        <w:t>They quantify TCO over 5 years, not API sticker price over 1 month.</w:t>
      </w:r>
    </w:p>
    <w:p w14:paraId="717D5655" w14:textId="77777777" w:rsidR="006865B0" w:rsidRPr="007A2FDE" w:rsidRDefault="006865B0" w:rsidP="006865B0">
      <w:pPr>
        <w:pStyle w:val="ListBullet"/>
        <w:tabs>
          <w:tab w:val="num" w:pos="360"/>
        </w:tabs>
        <w:ind w:left="360" w:hanging="360"/>
        <w:rPr>
          <w:rFonts w:ascii="Arial Narrow" w:hAnsi="Arial Narrow"/>
          <w:sz w:val="22"/>
          <w:szCs w:val="22"/>
        </w:rPr>
      </w:pPr>
      <w:r w:rsidRPr="007A2FDE">
        <w:rPr>
          <w:rFonts w:ascii="Arial Narrow" w:hAnsi="Arial Narrow"/>
          <w:sz w:val="22"/>
          <w:szCs w:val="22"/>
        </w:rPr>
        <w:t>They identify the digital-divide constraint — the capital threshold to move from Q1/Q2 to Q3/Q4 — and propose how the firm will cross it (external funding, managed open endpoints, or cooperative infrastructure).</w:t>
      </w:r>
    </w:p>
    <w:p w14:paraId="7065E86C" w14:textId="77777777" w:rsidR="006865B0" w:rsidRPr="007A2FDE" w:rsidRDefault="006865B0" w:rsidP="006865B0">
      <w:pPr>
        <w:pStyle w:val="ListBullet"/>
        <w:tabs>
          <w:tab w:val="num" w:pos="360"/>
        </w:tabs>
        <w:ind w:left="360" w:hanging="360"/>
        <w:rPr>
          <w:rFonts w:ascii="Arial Narrow" w:hAnsi="Arial Narrow"/>
          <w:sz w:val="22"/>
          <w:szCs w:val="22"/>
        </w:rPr>
      </w:pPr>
      <w:r w:rsidRPr="007A2FDE">
        <w:rPr>
          <w:rFonts w:ascii="Arial Narrow" w:hAnsi="Arial Narrow"/>
          <w:sz w:val="22"/>
          <w:szCs w:val="22"/>
        </w:rPr>
        <w:t>They plan the pilot as a business experiment with a baseline and a go/no-go, not as a technology demo.</w:t>
      </w:r>
    </w:p>
    <w:p w14:paraId="109266A8" w14:textId="77777777" w:rsidR="006865B0" w:rsidRPr="006865B0" w:rsidRDefault="006865B0" w:rsidP="006865B0">
      <w:pPr>
        <w:rPr>
          <w:rFonts w:ascii="Arial Narrow" w:hAnsi="Arial Narrow"/>
        </w:rPr>
      </w:pPr>
      <w:r w:rsidRPr="003D083A">
        <w:rPr>
          <w:rFonts w:ascii="Arial Narrow" w:hAnsi="Arial Narrow"/>
          <w:b/>
          <w:bCs/>
        </w:rPr>
        <w:t xml:space="preserve">Final thought for students: </w:t>
      </w:r>
      <w:r w:rsidRPr="006865B0">
        <w:rPr>
          <w:rFonts w:ascii="Arial Narrow" w:hAnsi="Arial Narrow"/>
        </w:rPr>
        <w:t>do not bet on one model. Build a model-agnostic gateway with an eval harness and intelligent routing. When the leaderboard flips next quarter—and it will—you swap a model, not your architecture.</w:t>
      </w:r>
    </w:p>
    <w:p w14:paraId="4CB6DB81" w14:textId="77777777" w:rsidR="006865B0" w:rsidRPr="006865B0" w:rsidRDefault="006865B0" w:rsidP="006865B0"/>
    <w:sectPr w:rsidR="006865B0" w:rsidRPr="006865B0" w:rsidSect="00641226">
      <w:headerReference w:type="default" r:id="rId7"/>
      <w:pgSz w:w="11906" w:h="16838"/>
      <w:pgMar w:top="1440" w:right="1440" w:bottom="1440" w:left="1440" w:header="851" w:footer="992" w:gutter="0"/>
      <w:cols w:space="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EE5CE" w14:textId="77777777" w:rsidR="00455B6C" w:rsidRDefault="00455B6C" w:rsidP="002C2120">
      <w:pPr>
        <w:spacing w:before="0" w:after="0"/>
      </w:pPr>
      <w:r>
        <w:separator/>
      </w:r>
    </w:p>
  </w:endnote>
  <w:endnote w:type="continuationSeparator" w:id="0">
    <w:p w14:paraId="54FACA5C" w14:textId="77777777" w:rsidR="00455B6C" w:rsidRDefault="00455B6C" w:rsidP="002C212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">
    <w:altName w:val="宋体"/>
    <w:panose1 w:val="00000000000000000000"/>
    <w:charset w:val="86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2A26D" w14:textId="77777777" w:rsidR="00455B6C" w:rsidRDefault="00455B6C" w:rsidP="002C2120">
      <w:pPr>
        <w:spacing w:before="0" w:after="0"/>
      </w:pPr>
      <w:r>
        <w:separator/>
      </w:r>
    </w:p>
  </w:footnote>
  <w:footnote w:type="continuationSeparator" w:id="0">
    <w:p w14:paraId="60755FC3" w14:textId="77777777" w:rsidR="00455B6C" w:rsidRDefault="00455B6C" w:rsidP="002C212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91769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99C15B" w14:textId="5AC73135" w:rsidR="002C2120" w:rsidRDefault="002C2120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974B26" w14:textId="77777777" w:rsidR="002C2120" w:rsidRDefault="002C21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8E2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E05DD3"/>
    <w:multiLevelType w:val="hybridMultilevel"/>
    <w:tmpl w:val="C4A22B44"/>
    <w:lvl w:ilvl="0" w:tplc="666245F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9A9583F"/>
    <w:multiLevelType w:val="hybridMultilevel"/>
    <w:tmpl w:val="ED3E23E8"/>
    <w:lvl w:ilvl="0" w:tplc="78FE3F2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08A38B7"/>
    <w:multiLevelType w:val="hybridMultilevel"/>
    <w:tmpl w:val="98DA7B4A"/>
    <w:lvl w:ilvl="0" w:tplc="666245F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14C0595"/>
    <w:multiLevelType w:val="hybridMultilevel"/>
    <w:tmpl w:val="B1BAC63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8668302">
    <w:abstractNumId w:val="3"/>
  </w:num>
  <w:num w:numId="2" w16cid:durableId="202788724">
    <w:abstractNumId w:val="0"/>
  </w:num>
  <w:num w:numId="3" w16cid:durableId="399445111">
    <w:abstractNumId w:val="4"/>
  </w:num>
  <w:num w:numId="4" w16cid:durableId="1042284806">
    <w:abstractNumId w:val="1"/>
  </w:num>
  <w:num w:numId="5" w16cid:durableId="2135100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26"/>
    <w:rsid w:val="001C3F57"/>
    <w:rsid w:val="002C2120"/>
    <w:rsid w:val="002D2CD7"/>
    <w:rsid w:val="003748C2"/>
    <w:rsid w:val="003D083A"/>
    <w:rsid w:val="00455B6C"/>
    <w:rsid w:val="00497AB8"/>
    <w:rsid w:val="004D7D10"/>
    <w:rsid w:val="00510E18"/>
    <w:rsid w:val="00641226"/>
    <w:rsid w:val="006865B0"/>
    <w:rsid w:val="00696AE4"/>
    <w:rsid w:val="007A2FDE"/>
    <w:rsid w:val="007F2E0E"/>
    <w:rsid w:val="00807C3A"/>
    <w:rsid w:val="009C43BA"/>
    <w:rsid w:val="00A8505C"/>
    <w:rsid w:val="00AD36E6"/>
    <w:rsid w:val="00B55171"/>
    <w:rsid w:val="00B61388"/>
    <w:rsid w:val="00B940B7"/>
    <w:rsid w:val="00D27C38"/>
    <w:rsid w:val="00DF2D44"/>
    <w:rsid w:val="00F06D8C"/>
    <w:rsid w:val="00F2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F66F9"/>
  <w15:chartTrackingRefBased/>
  <w15:docId w15:val="{3FFCE6B4-A078-4CEC-AF7C-7966DB4C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226"/>
    <w:pPr>
      <w:widowControl w:val="0"/>
      <w:spacing w:before="60" w:after="60" w:line="240" w:lineRule="auto"/>
      <w:jc w:val="both"/>
    </w:pPr>
    <w:rPr>
      <w:rFonts w:ascii="Arial" w:eastAsia="微软雅黑" w:hAnsi="Arial" w:cs="Arial"/>
      <w:color w:val="33333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2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nhideWhenUsed/>
    <w:qFormat/>
    <w:rsid w:val="00641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6412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2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2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22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22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22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22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2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641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rsid w:val="00641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226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226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226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226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226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226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412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2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2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641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2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2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2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641226"/>
    <w:pPr>
      <w:spacing w:after="0" w:line="240" w:lineRule="auto"/>
    </w:pPr>
    <w:rPr>
      <w:rFonts w:ascii="Arial" w:eastAsia="微软雅黑" w:hAnsi="Arial" w:cs="Arial"/>
      <w:kern w:val="0"/>
      <w:sz w:val="20"/>
      <w:szCs w:val="20"/>
      <w14:ligatures w14:val="none"/>
    </w:rPr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  <w:style w:type="paragraph" w:styleId="ListBullet">
    <w:name w:val="List Bullet"/>
    <w:basedOn w:val="Normal"/>
    <w:uiPriority w:val="99"/>
    <w:unhideWhenUsed/>
    <w:rsid w:val="006865B0"/>
    <w:pPr>
      <w:widowControl/>
      <w:numPr>
        <w:numId w:val="2"/>
      </w:numPr>
      <w:tabs>
        <w:tab w:val="clear" w:pos="360"/>
      </w:tabs>
      <w:spacing w:before="0" w:after="200" w:line="276" w:lineRule="auto"/>
      <w:ind w:left="0" w:firstLine="0"/>
      <w:contextualSpacing/>
      <w:jc w:val="left"/>
    </w:pPr>
    <w:rPr>
      <w:rFonts w:ascii="Times New Roman" w:eastAsia="思源黑体" w:hAnsi="Times New Roman" w:cs="Times New Roman"/>
      <w:color w:val="auto"/>
      <w:kern w:val="0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C21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C2120"/>
    <w:rPr>
      <w:rFonts w:ascii="Arial" w:eastAsia="微软雅黑" w:hAnsi="Arial" w:cs="Arial"/>
      <w:color w:val="333333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C2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C2120"/>
    <w:rPr>
      <w:rFonts w:ascii="Arial" w:eastAsia="微软雅黑" w:hAnsi="Arial" w:cs="Arial"/>
      <w:color w:val="333333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Jianliang Zhao (SME)</dc:creator>
  <cp:keywords/>
  <dc:description/>
  <cp:lastModifiedBy>Prof. Jianliang Zhao (SME)</cp:lastModifiedBy>
  <cp:revision>4</cp:revision>
  <dcterms:created xsi:type="dcterms:W3CDTF">2026-10-05T15:29:00Z</dcterms:created>
  <dcterms:modified xsi:type="dcterms:W3CDTF">2026-10-05T15:31:00Z</dcterms:modified>
</cp:coreProperties>
</file>